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C9D" w:rsidRDefault="00261629" w:rsidP="00D95B58">
      <w:pPr>
        <w:rPr>
          <w:rFonts w:ascii="Garamond" w:hAnsi="Garamond"/>
          <w:b/>
          <w:bCs/>
          <w:szCs w:val="28"/>
        </w:rPr>
      </w:pPr>
      <w:r>
        <w:rPr>
          <w:rFonts w:ascii="Garamond" w:hAnsi="Garamond"/>
          <w:b/>
          <w:bCs/>
          <w:szCs w:val="28"/>
        </w:rPr>
        <w:t>VI.12</w:t>
      </w:r>
      <w:r w:rsidR="00D95B58">
        <w:rPr>
          <w:rFonts w:ascii="Garamond" w:hAnsi="Garamond"/>
          <w:b/>
          <w:bCs/>
          <w:szCs w:val="28"/>
        </w:rPr>
        <w:t>.</w:t>
      </w:r>
      <w:r>
        <w:rPr>
          <w:rFonts w:ascii="Garamond" w:hAnsi="Garamond"/>
          <w:b/>
          <w:bCs/>
          <w:szCs w:val="28"/>
        </w:rPr>
        <w:t xml:space="preserve"> </w:t>
      </w:r>
      <w:r w:rsidR="00E13C9D" w:rsidRPr="006A5CF1">
        <w:rPr>
          <w:rFonts w:ascii="Garamond" w:hAnsi="Garamond"/>
          <w:b/>
          <w:bCs/>
          <w:szCs w:val="28"/>
        </w:rPr>
        <w:t>Изменения, связанные</w:t>
      </w:r>
      <w:r w:rsidR="00E04D50">
        <w:rPr>
          <w:rFonts w:ascii="Garamond" w:hAnsi="Garamond"/>
          <w:b/>
          <w:bCs/>
          <w:szCs w:val="28"/>
        </w:rPr>
        <w:t xml:space="preserve"> с </w:t>
      </w:r>
      <w:r w:rsidR="00D91A05">
        <w:rPr>
          <w:rFonts w:ascii="Garamond" w:hAnsi="Garamond"/>
          <w:b/>
          <w:bCs/>
          <w:szCs w:val="28"/>
        </w:rPr>
        <w:t>аттестацией генерирующего оборудования по данным контроля готовности к выработке</w:t>
      </w:r>
      <w:r w:rsidR="00E04D50">
        <w:rPr>
          <w:rFonts w:ascii="Garamond" w:hAnsi="Garamond"/>
          <w:b/>
          <w:bCs/>
          <w:szCs w:val="28"/>
        </w:rPr>
        <w:t xml:space="preserve"> электроэнергии</w:t>
      </w:r>
    </w:p>
    <w:p w:rsidR="00261629" w:rsidRDefault="00261629" w:rsidP="00BC6A77">
      <w:pPr>
        <w:jc w:val="both"/>
        <w:rPr>
          <w:rFonts w:ascii="Garamond" w:hAnsi="Garamond"/>
          <w:b/>
          <w:bCs/>
          <w:szCs w:val="28"/>
        </w:rPr>
      </w:pPr>
    </w:p>
    <w:p w:rsidR="00261629" w:rsidRPr="00261629" w:rsidRDefault="00261629" w:rsidP="00261629">
      <w:pPr>
        <w:jc w:val="right"/>
        <w:rPr>
          <w:rFonts w:ascii="Garamond" w:hAnsi="Garamond"/>
          <w:b/>
          <w:bCs/>
          <w:szCs w:val="28"/>
        </w:rPr>
      </w:pPr>
      <w:r w:rsidRPr="00D95B58">
        <w:rPr>
          <w:rFonts w:ascii="Garamond" w:hAnsi="Garamond"/>
          <w:b/>
          <w:bCs/>
          <w:szCs w:val="28"/>
        </w:rPr>
        <w:t xml:space="preserve">Приложение </w:t>
      </w:r>
      <w:r>
        <w:rPr>
          <w:rFonts w:ascii="Garamond" w:hAnsi="Garamond"/>
          <w:b/>
          <w:bCs/>
          <w:szCs w:val="28"/>
        </w:rPr>
        <w:t>№ 6.12</w:t>
      </w:r>
    </w:p>
    <w:p w:rsidR="00261629" w:rsidRPr="00745C47" w:rsidRDefault="00261629" w:rsidP="00BC6A77">
      <w:pPr>
        <w:jc w:val="both"/>
        <w:rPr>
          <w:rFonts w:ascii="Garamond" w:hAnsi="Garamond"/>
          <w:b/>
          <w:bCs/>
          <w:szCs w:val="28"/>
        </w:rPr>
      </w:pPr>
    </w:p>
    <w:tbl>
      <w:tblPr>
        <w:tblpPr w:leftFromText="180" w:rightFromText="180" w:vertAnchor="text" w:horzAnchor="margin" w:tblpY="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27"/>
      </w:tblGrid>
      <w:tr w:rsidR="00E13C9D" w:rsidRPr="006A5CF1" w:rsidTr="003D6650">
        <w:trPr>
          <w:trHeight w:val="1245"/>
        </w:trPr>
        <w:tc>
          <w:tcPr>
            <w:tcW w:w="15134" w:type="dxa"/>
          </w:tcPr>
          <w:p w:rsidR="00E13C9D" w:rsidRPr="006A5CF1" w:rsidRDefault="00E13C9D" w:rsidP="00745C47">
            <w:pPr>
              <w:jc w:val="both"/>
              <w:rPr>
                <w:rFonts w:ascii="Garamond" w:hAnsi="Garamond"/>
                <w:sz w:val="24"/>
              </w:rPr>
            </w:pPr>
            <w:r w:rsidRPr="006A5CF1">
              <w:rPr>
                <w:rFonts w:ascii="Garamond" w:hAnsi="Garamond"/>
                <w:b/>
                <w:bCs/>
                <w:sz w:val="24"/>
              </w:rPr>
              <w:t xml:space="preserve">Инициатор: </w:t>
            </w:r>
            <w:r w:rsidR="00D95B58">
              <w:rPr>
                <w:rFonts w:ascii="Garamond" w:hAnsi="Garamond"/>
                <w:sz w:val="24"/>
              </w:rPr>
              <w:t>ч</w:t>
            </w:r>
            <w:r w:rsidR="00261629">
              <w:rPr>
                <w:rFonts w:ascii="Garamond" w:hAnsi="Garamond"/>
                <w:sz w:val="24"/>
              </w:rPr>
              <w:t xml:space="preserve">лен Наблюдательного совета Ассоциации «НП Совет рынка» Ф.Ю. </w:t>
            </w:r>
            <w:proofErr w:type="spellStart"/>
            <w:r w:rsidR="00261629">
              <w:rPr>
                <w:rFonts w:ascii="Garamond" w:hAnsi="Garamond"/>
                <w:sz w:val="24"/>
              </w:rPr>
              <w:t>Опадчий</w:t>
            </w:r>
            <w:proofErr w:type="spellEnd"/>
            <w:r w:rsidR="00D95B58">
              <w:rPr>
                <w:rFonts w:ascii="Garamond" w:hAnsi="Garamond"/>
                <w:sz w:val="24"/>
              </w:rPr>
              <w:t>.</w:t>
            </w:r>
          </w:p>
          <w:p w:rsidR="00E13C9D" w:rsidRDefault="00E13C9D" w:rsidP="001B4542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Garamond" w:hAnsi="Garamond"/>
                <w:sz w:val="24"/>
              </w:rPr>
            </w:pPr>
            <w:r w:rsidRPr="006A5CF1">
              <w:rPr>
                <w:rFonts w:ascii="Garamond" w:hAnsi="Garamond"/>
                <w:b/>
                <w:bCs/>
                <w:sz w:val="24"/>
              </w:rPr>
              <w:t>Обоснование</w:t>
            </w:r>
            <w:r>
              <w:rPr>
                <w:rFonts w:ascii="Garamond" w:hAnsi="Garamond"/>
                <w:sz w:val="24"/>
              </w:rPr>
              <w:t>:</w:t>
            </w:r>
            <w:r w:rsidR="00D95B58">
              <w:rPr>
                <w:rFonts w:ascii="Garamond" w:hAnsi="Garamond"/>
                <w:sz w:val="24"/>
              </w:rPr>
              <w:t xml:space="preserve"> в</w:t>
            </w:r>
            <w:r w:rsidR="00FA0220">
              <w:rPr>
                <w:rFonts w:ascii="Garamond" w:hAnsi="Garamond"/>
                <w:sz w:val="24"/>
              </w:rPr>
              <w:t xml:space="preserve"> соответствии с </w:t>
            </w:r>
            <w:r w:rsidR="001215EC">
              <w:rPr>
                <w:rFonts w:ascii="Garamond" w:hAnsi="Garamond"/>
                <w:sz w:val="24"/>
              </w:rPr>
              <w:t>п. 44 Правил оптового рынка электрической энергии и мощности, утвержденных постановлением Правительства РФ от 27.12.2010 № 1172 (далее</w:t>
            </w:r>
            <w:r w:rsidR="0046439D">
              <w:rPr>
                <w:rFonts w:ascii="Garamond" w:hAnsi="Garamond"/>
                <w:sz w:val="24"/>
              </w:rPr>
              <w:t xml:space="preserve"> </w:t>
            </w:r>
            <w:r w:rsidR="005F1EAF">
              <w:rPr>
                <w:rFonts w:ascii="Garamond" w:hAnsi="Garamond"/>
                <w:sz w:val="24"/>
              </w:rPr>
              <w:t>–</w:t>
            </w:r>
            <w:r w:rsidR="001215EC">
              <w:rPr>
                <w:rFonts w:ascii="Garamond" w:hAnsi="Garamond"/>
                <w:sz w:val="24"/>
              </w:rPr>
              <w:t xml:space="preserve"> Правила ОРЭМ),</w:t>
            </w:r>
            <w:r w:rsidR="001215EC" w:rsidRPr="001215EC">
              <w:rPr>
                <w:rFonts w:ascii="Garamond" w:hAnsi="Garamond"/>
                <w:sz w:val="24"/>
              </w:rPr>
              <w:t xml:space="preserve"> при невыполнении непрерывно в течение более 6 месяцев участником оптового рынка обязательств</w:t>
            </w:r>
            <w:r w:rsidR="001215EC">
              <w:rPr>
                <w:rFonts w:ascii="Garamond" w:hAnsi="Garamond"/>
                <w:sz w:val="24"/>
              </w:rPr>
              <w:t xml:space="preserve"> по поддержанию генерирующего оборудования в состоянии готовности к выработке электроэнергии</w:t>
            </w:r>
            <w:r w:rsidR="001215EC" w:rsidRPr="001215EC">
              <w:rPr>
                <w:rFonts w:ascii="Garamond" w:hAnsi="Garamond"/>
                <w:sz w:val="24"/>
              </w:rPr>
              <w:t xml:space="preserve">, предусмотренных </w:t>
            </w:r>
            <w:hyperlink w:anchor="P514" w:history="1">
              <w:r w:rsidR="001215EC" w:rsidRPr="001215EC">
                <w:rPr>
                  <w:rFonts w:ascii="Garamond" w:hAnsi="Garamond"/>
                  <w:sz w:val="24"/>
                </w:rPr>
                <w:t>подпунктом 3 пункта 48</w:t>
              </w:r>
            </w:hyperlink>
            <w:r w:rsidR="001215EC" w:rsidRPr="001215EC">
              <w:rPr>
                <w:rFonts w:ascii="Garamond" w:hAnsi="Garamond"/>
                <w:sz w:val="24"/>
              </w:rPr>
              <w:t xml:space="preserve"> и </w:t>
            </w:r>
            <w:hyperlink w:anchor="P530" w:history="1">
              <w:r w:rsidR="001215EC" w:rsidRPr="001215EC">
                <w:rPr>
                  <w:rFonts w:ascii="Garamond" w:hAnsi="Garamond"/>
                  <w:sz w:val="24"/>
                </w:rPr>
                <w:t>подпунктами 3</w:t>
              </w:r>
            </w:hyperlink>
            <w:r w:rsidR="001215EC" w:rsidRPr="001215EC">
              <w:rPr>
                <w:rFonts w:ascii="Garamond" w:hAnsi="Garamond"/>
                <w:sz w:val="24"/>
              </w:rPr>
              <w:t xml:space="preserve">, </w:t>
            </w:r>
            <w:hyperlink w:anchor="P531" w:history="1">
              <w:r w:rsidR="001215EC" w:rsidRPr="001215EC">
                <w:rPr>
                  <w:rFonts w:ascii="Garamond" w:hAnsi="Garamond"/>
                  <w:sz w:val="24"/>
                </w:rPr>
                <w:t>4</w:t>
              </w:r>
            </w:hyperlink>
            <w:r w:rsidR="001215EC" w:rsidRPr="001215EC">
              <w:rPr>
                <w:rFonts w:ascii="Garamond" w:hAnsi="Garamond"/>
                <w:sz w:val="24"/>
              </w:rPr>
              <w:t xml:space="preserve">, </w:t>
            </w:r>
            <w:hyperlink w:anchor="P533" w:history="1">
              <w:r w:rsidR="001215EC" w:rsidRPr="001215EC">
                <w:rPr>
                  <w:rFonts w:ascii="Garamond" w:hAnsi="Garamond"/>
                  <w:sz w:val="24"/>
                </w:rPr>
                <w:t>6</w:t>
              </w:r>
            </w:hyperlink>
            <w:r w:rsidR="005F1EAF">
              <w:rPr>
                <w:rFonts w:ascii="Garamond" w:hAnsi="Garamond"/>
                <w:sz w:val="24"/>
              </w:rPr>
              <w:t>–</w:t>
            </w:r>
            <w:hyperlink w:anchor="P536" w:history="1">
              <w:r w:rsidR="001215EC" w:rsidRPr="001215EC">
                <w:rPr>
                  <w:rFonts w:ascii="Garamond" w:hAnsi="Garamond"/>
                  <w:sz w:val="24"/>
                </w:rPr>
                <w:t>9 пункта 50</w:t>
              </w:r>
            </w:hyperlink>
            <w:r w:rsidR="001215EC" w:rsidRPr="001215EC">
              <w:rPr>
                <w:rFonts w:ascii="Garamond" w:hAnsi="Garamond"/>
                <w:sz w:val="24"/>
              </w:rPr>
              <w:t xml:space="preserve"> Правил </w:t>
            </w:r>
            <w:r w:rsidR="001215EC">
              <w:rPr>
                <w:rFonts w:ascii="Garamond" w:hAnsi="Garamond"/>
                <w:sz w:val="24"/>
              </w:rPr>
              <w:t>ОРЭМ</w:t>
            </w:r>
            <w:r w:rsidR="001215EC" w:rsidRPr="001215EC">
              <w:rPr>
                <w:rFonts w:ascii="Garamond" w:hAnsi="Garamond"/>
                <w:sz w:val="24"/>
              </w:rPr>
              <w:t>, предельный объем поставки мощности определяется на основании аттестации по результ</w:t>
            </w:r>
            <w:r w:rsidR="00D3412B">
              <w:rPr>
                <w:rFonts w:ascii="Garamond" w:hAnsi="Garamond"/>
                <w:sz w:val="24"/>
              </w:rPr>
              <w:t>атам тестирования, проводимого С</w:t>
            </w:r>
            <w:r w:rsidR="001215EC" w:rsidRPr="001215EC">
              <w:rPr>
                <w:rFonts w:ascii="Garamond" w:hAnsi="Garamond"/>
                <w:sz w:val="24"/>
              </w:rPr>
              <w:t xml:space="preserve">истемным оператором в соответствии с Правилами </w:t>
            </w:r>
            <w:r w:rsidR="001215EC">
              <w:rPr>
                <w:rFonts w:ascii="Garamond" w:hAnsi="Garamond"/>
                <w:sz w:val="24"/>
              </w:rPr>
              <w:t>ОРЭМ</w:t>
            </w:r>
            <w:r w:rsidR="001215EC" w:rsidRPr="001215EC">
              <w:rPr>
                <w:rFonts w:ascii="Garamond" w:hAnsi="Garamond"/>
                <w:sz w:val="24"/>
              </w:rPr>
              <w:t xml:space="preserve"> и </w:t>
            </w:r>
            <w:r w:rsidR="0046439D">
              <w:rPr>
                <w:rFonts w:ascii="Garamond" w:hAnsi="Garamond"/>
                <w:sz w:val="24"/>
              </w:rPr>
              <w:t>Д</w:t>
            </w:r>
            <w:r w:rsidR="001215EC" w:rsidRPr="001215EC">
              <w:rPr>
                <w:rFonts w:ascii="Garamond" w:hAnsi="Garamond"/>
                <w:sz w:val="24"/>
              </w:rPr>
              <w:t>оговором о присоединении к торговой системе оптового рынка</w:t>
            </w:r>
            <w:r w:rsidR="001215EC">
              <w:rPr>
                <w:rFonts w:ascii="Garamond" w:hAnsi="Garamond"/>
                <w:sz w:val="24"/>
              </w:rPr>
              <w:t xml:space="preserve"> (далее – ДОП). </w:t>
            </w:r>
            <w:r w:rsidR="001215EC" w:rsidRPr="001215EC">
              <w:rPr>
                <w:rFonts w:ascii="Garamond" w:hAnsi="Garamond"/>
                <w:sz w:val="24"/>
              </w:rPr>
              <w:t>В соответствии с Регламентом аттес</w:t>
            </w:r>
            <w:r w:rsidR="00D3412B">
              <w:rPr>
                <w:rFonts w:ascii="Garamond" w:hAnsi="Garamond"/>
                <w:sz w:val="24"/>
              </w:rPr>
              <w:t>тации генерирующего оборудования</w:t>
            </w:r>
            <w:r w:rsidR="001215EC" w:rsidRPr="001215EC">
              <w:rPr>
                <w:rFonts w:ascii="Garamond" w:hAnsi="Garamond"/>
                <w:sz w:val="24"/>
              </w:rPr>
              <w:t xml:space="preserve"> (Приложение № 19.2 к Д</w:t>
            </w:r>
            <w:r w:rsidR="0046439D">
              <w:rPr>
                <w:rFonts w:ascii="Garamond" w:hAnsi="Garamond"/>
                <w:sz w:val="24"/>
              </w:rPr>
              <w:t>ОП</w:t>
            </w:r>
            <w:r w:rsidR="001215EC" w:rsidRPr="001215EC">
              <w:rPr>
                <w:rFonts w:ascii="Garamond" w:hAnsi="Garamond"/>
                <w:sz w:val="24"/>
              </w:rPr>
              <w:t>, далее – Регламент аттестации) в рамках проведения аттестации генерирующего оборудования по результатам контроля готовности СО обязан инициировать процедуру тестирования для целей аттестации по данным формализованной системы контроля готовности генерирующего оборудования к выработке электроэнергии при выявлении фактов непрерывной (180 дней) неготовности к выработке, а также по результатам мониторинга фактического эксплуатационного состояния оборудования (инспекционного контроля).</w:t>
            </w:r>
          </w:p>
          <w:p w:rsidR="000E05EF" w:rsidRPr="00A149EF" w:rsidRDefault="001215EC" w:rsidP="001B4542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Garamond" w:hAnsi="Garamond"/>
                <w:sz w:val="24"/>
              </w:rPr>
            </w:pPr>
            <w:r w:rsidRPr="001215EC">
              <w:rPr>
                <w:rFonts w:ascii="Garamond" w:hAnsi="Garamond"/>
                <w:sz w:val="24"/>
              </w:rPr>
              <w:t>Процедура мониторинга фактического эксплуатационного состояния оборудования была введена в 2009 году в целях выявления возможного проведения «скрытых» ремонтов на оборудовании, находящемся в холодном резерве, мощность которого подлежит оплате на оптовом рынке. В настоящее время использование результатов мониторинга фактического эксплуатационного состояния оборудования в рамках аттестации генерирующего оборудования нецелесообразно в связи с включением в Правила и регламенты ОРЭМ иных норм, препятствующих проведению собственниками оборудования «скрытых» ремонтов</w:t>
            </w:r>
            <w:r>
              <w:rPr>
                <w:rFonts w:ascii="Garamond" w:hAnsi="Garamond"/>
                <w:sz w:val="24"/>
              </w:rPr>
              <w:t xml:space="preserve"> </w:t>
            </w:r>
            <w:r w:rsidR="00154F16">
              <w:rPr>
                <w:rFonts w:ascii="Garamond" w:hAnsi="Garamond"/>
                <w:sz w:val="24"/>
              </w:rPr>
              <w:t xml:space="preserve">с получением платы за мощность </w:t>
            </w:r>
            <w:r>
              <w:rPr>
                <w:rFonts w:ascii="Garamond" w:hAnsi="Garamond"/>
                <w:sz w:val="24"/>
              </w:rPr>
              <w:t>(загрузка оборудования для целей подтверждения резервов</w:t>
            </w:r>
            <w:r w:rsidR="00154F16">
              <w:rPr>
                <w:rFonts w:ascii="Garamond" w:hAnsi="Garamond"/>
                <w:sz w:val="24"/>
              </w:rPr>
              <w:t xml:space="preserve"> мощности без применения ранжированных таблиц;</w:t>
            </w:r>
            <w:r>
              <w:rPr>
                <w:rFonts w:ascii="Garamond" w:hAnsi="Garamond"/>
                <w:sz w:val="24"/>
              </w:rPr>
              <w:t xml:space="preserve"> включение в ВСВГО генерирующего оборудования, длительно (более 6 месяцев) находившегося в резерве</w:t>
            </w:r>
            <w:r w:rsidR="00154F16">
              <w:rPr>
                <w:rFonts w:ascii="Garamond" w:hAnsi="Garamond"/>
                <w:sz w:val="24"/>
              </w:rPr>
              <w:t>;</w:t>
            </w:r>
            <w:r>
              <w:rPr>
                <w:rFonts w:ascii="Garamond" w:hAnsi="Garamond"/>
                <w:sz w:val="24"/>
              </w:rPr>
              <w:t xml:space="preserve"> тестирование для целей аттестации генерирующего оборудования</w:t>
            </w:r>
            <w:r w:rsidR="0046439D">
              <w:rPr>
                <w:rFonts w:ascii="Garamond" w:hAnsi="Garamond"/>
                <w:sz w:val="24"/>
              </w:rPr>
              <w:t>,</w:t>
            </w:r>
            <w:r>
              <w:rPr>
                <w:rFonts w:ascii="Garamond" w:hAnsi="Garamond"/>
                <w:sz w:val="24"/>
              </w:rPr>
              <w:t xml:space="preserve"> длительно (11 месяцев и более) находившегося в резерве</w:t>
            </w:r>
            <w:r w:rsidR="00154F16">
              <w:rPr>
                <w:rFonts w:ascii="Garamond" w:hAnsi="Garamond"/>
                <w:sz w:val="24"/>
              </w:rPr>
              <w:t xml:space="preserve">; переход </w:t>
            </w:r>
            <w:r w:rsidR="00154F16" w:rsidRPr="00154F16">
              <w:rPr>
                <w:rFonts w:ascii="Garamond" w:hAnsi="Garamond"/>
                <w:sz w:val="24"/>
              </w:rPr>
              <w:t xml:space="preserve"> от контроля предельной длительности оплачиваемых на оптовом рынке плановых (180/270 суток) / неплановых (120 часов) ремонтов в календарном году / месяце к контролю в скользящем периоде</w:t>
            </w:r>
            <w:r w:rsidR="00154F16">
              <w:rPr>
                <w:rFonts w:ascii="Garamond" w:hAnsi="Garamond"/>
                <w:sz w:val="24"/>
              </w:rPr>
              <w:t>)</w:t>
            </w:r>
            <w:r w:rsidR="00D95B58">
              <w:rPr>
                <w:rFonts w:ascii="Garamond" w:hAnsi="Garamond"/>
                <w:sz w:val="24"/>
              </w:rPr>
              <w:t>.</w:t>
            </w:r>
          </w:p>
          <w:p w:rsidR="00E13C9D" w:rsidRPr="00261629" w:rsidRDefault="00E13C9D" w:rsidP="0035787B">
            <w:pPr>
              <w:jc w:val="both"/>
              <w:rPr>
                <w:b/>
                <w:sz w:val="24"/>
              </w:rPr>
            </w:pPr>
            <w:r w:rsidRPr="006A5CF1">
              <w:rPr>
                <w:rFonts w:ascii="Garamond" w:hAnsi="Garamond"/>
                <w:b/>
                <w:bCs/>
                <w:sz w:val="24"/>
              </w:rPr>
              <w:t xml:space="preserve">Дата вступления в силу: </w:t>
            </w:r>
            <w:r w:rsidR="0035787B">
              <w:rPr>
                <w:rFonts w:ascii="Garamond" w:hAnsi="Garamond"/>
                <w:sz w:val="24"/>
              </w:rPr>
              <w:t>20</w:t>
            </w:r>
            <w:r w:rsidR="00261629" w:rsidRPr="00261629">
              <w:rPr>
                <w:rFonts w:ascii="Garamond" w:hAnsi="Garamond"/>
                <w:sz w:val="24"/>
              </w:rPr>
              <w:t xml:space="preserve"> сентября 2018 года</w:t>
            </w:r>
            <w:r w:rsidR="00D95B58">
              <w:rPr>
                <w:rFonts w:ascii="Garamond" w:hAnsi="Garamond"/>
                <w:sz w:val="24"/>
              </w:rPr>
              <w:t>.</w:t>
            </w:r>
          </w:p>
        </w:tc>
      </w:tr>
    </w:tbl>
    <w:p w:rsidR="00E13C9D" w:rsidRDefault="00E13C9D" w:rsidP="00C329E7">
      <w:pPr>
        <w:ind w:right="110"/>
        <w:jc w:val="both"/>
        <w:rPr>
          <w:rFonts w:ascii="Garamond" w:hAnsi="Garamond"/>
          <w:b/>
          <w:sz w:val="26"/>
          <w:szCs w:val="26"/>
        </w:rPr>
      </w:pPr>
    </w:p>
    <w:p w:rsidR="006C1233" w:rsidRDefault="006C1233" w:rsidP="00D95B58">
      <w:pPr>
        <w:ind w:right="110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>П</w:t>
      </w:r>
      <w:r w:rsidRPr="006A5CF1">
        <w:rPr>
          <w:rFonts w:ascii="Garamond" w:hAnsi="Garamond"/>
          <w:b/>
          <w:sz w:val="26"/>
          <w:szCs w:val="26"/>
        </w:rPr>
        <w:t xml:space="preserve">редложения по изменениям и дополнениям в </w:t>
      </w:r>
      <w:r w:rsidRPr="00040561">
        <w:rPr>
          <w:rFonts w:ascii="Garamond" w:hAnsi="Garamond"/>
          <w:b/>
          <w:sz w:val="26"/>
          <w:szCs w:val="26"/>
        </w:rPr>
        <w:t xml:space="preserve">РЕГЛАМЕНТ </w:t>
      </w:r>
      <w:r w:rsidR="0018714E">
        <w:rPr>
          <w:rFonts w:ascii="Garamond" w:hAnsi="Garamond"/>
          <w:b/>
          <w:sz w:val="26"/>
          <w:szCs w:val="26"/>
        </w:rPr>
        <w:t>АТТЕСТАЦИИ ГЕНЕРИРУЮЩЕГО ОБОРУДОВАНИЯ</w:t>
      </w:r>
      <w:r w:rsidRPr="006A5CF1">
        <w:rPr>
          <w:rFonts w:ascii="Garamond" w:hAnsi="Garamond"/>
          <w:b/>
          <w:sz w:val="26"/>
          <w:szCs w:val="26"/>
        </w:rPr>
        <w:t xml:space="preserve"> </w:t>
      </w:r>
      <w:r w:rsidRPr="00040561">
        <w:rPr>
          <w:rFonts w:ascii="Garamond" w:hAnsi="Garamond"/>
          <w:b/>
          <w:sz w:val="26"/>
          <w:szCs w:val="26"/>
        </w:rPr>
        <w:t xml:space="preserve">(Приложение № </w:t>
      </w:r>
      <w:r>
        <w:rPr>
          <w:rFonts w:ascii="Garamond" w:hAnsi="Garamond"/>
          <w:b/>
          <w:sz w:val="26"/>
          <w:szCs w:val="26"/>
        </w:rPr>
        <w:t>1</w:t>
      </w:r>
      <w:r w:rsidR="0018714E">
        <w:rPr>
          <w:rFonts w:ascii="Garamond" w:hAnsi="Garamond"/>
          <w:b/>
          <w:sz w:val="26"/>
          <w:szCs w:val="26"/>
        </w:rPr>
        <w:t>9.2</w:t>
      </w:r>
      <w:r w:rsidRPr="00040561">
        <w:rPr>
          <w:rFonts w:ascii="Garamond" w:hAnsi="Garamond"/>
          <w:b/>
          <w:sz w:val="26"/>
          <w:szCs w:val="26"/>
        </w:rPr>
        <w:t xml:space="preserve"> к Договору о присоединении к торговой системе оптового рынка)</w:t>
      </w:r>
    </w:p>
    <w:p w:rsidR="00D95B58" w:rsidRDefault="00D95B58" w:rsidP="006C1233">
      <w:pPr>
        <w:ind w:right="110"/>
        <w:jc w:val="both"/>
        <w:rPr>
          <w:rFonts w:ascii="Garamond" w:hAnsi="Garamond"/>
          <w:b/>
          <w:sz w:val="26"/>
          <w:szCs w:val="26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229"/>
        <w:gridCol w:w="7088"/>
      </w:tblGrid>
      <w:tr w:rsidR="006C1233" w:rsidRPr="00745C47" w:rsidTr="0046439D">
        <w:trPr>
          <w:tblHeader/>
        </w:trPr>
        <w:tc>
          <w:tcPr>
            <w:tcW w:w="959" w:type="dxa"/>
            <w:vAlign w:val="center"/>
          </w:tcPr>
          <w:p w:rsidR="006C1233" w:rsidRPr="00745C47" w:rsidRDefault="006C1233" w:rsidP="006C1233">
            <w:pPr>
              <w:jc w:val="center"/>
              <w:rPr>
                <w:rFonts w:ascii="Garamond" w:hAnsi="Garamond"/>
                <w:b/>
                <w:sz w:val="22"/>
              </w:rPr>
            </w:pPr>
            <w:r w:rsidRPr="00745C47">
              <w:rPr>
                <w:rFonts w:ascii="Garamond" w:hAnsi="Garamond"/>
                <w:b/>
                <w:sz w:val="22"/>
                <w:szCs w:val="22"/>
              </w:rPr>
              <w:lastRenderedPageBreak/>
              <w:t>№</w:t>
            </w:r>
          </w:p>
          <w:p w:rsidR="006C1233" w:rsidRPr="00745C47" w:rsidRDefault="006C1233" w:rsidP="006C1233">
            <w:pPr>
              <w:jc w:val="center"/>
              <w:rPr>
                <w:rFonts w:ascii="Garamond" w:hAnsi="Garamond"/>
                <w:b/>
                <w:sz w:val="22"/>
              </w:rPr>
            </w:pPr>
            <w:r w:rsidRPr="00745C47">
              <w:rPr>
                <w:rFonts w:ascii="Garamond" w:hAnsi="Garamond"/>
                <w:b/>
                <w:sz w:val="22"/>
                <w:szCs w:val="22"/>
              </w:rPr>
              <w:t>пункта</w:t>
            </w:r>
          </w:p>
        </w:tc>
        <w:tc>
          <w:tcPr>
            <w:tcW w:w="7229" w:type="dxa"/>
            <w:vAlign w:val="center"/>
          </w:tcPr>
          <w:p w:rsidR="006C1233" w:rsidRPr="00745C47" w:rsidRDefault="006C1233" w:rsidP="006C1233">
            <w:pPr>
              <w:jc w:val="center"/>
              <w:rPr>
                <w:rFonts w:ascii="Garamond" w:hAnsi="Garamond"/>
                <w:b/>
                <w:sz w:val="22"/>
              </w:rPr>
            </w:pPr>
            <w:r w:rsidRPr="00745C47">
              <w:rPr>
                <w:rFonts w:ascii="Garamond" w:hAnsi="Garamond"/>
                <w:b/>
                <w:sz w:val="22"/>
                <w:szCs w:val="22"/>
              </w:rPr>
              <w:t xml:space="preserve">Редакция, действующая на момент </w:t>
            </w:r>
          </w:p>
          <w:p w:rsidR="006C1233" w:rsidRPr="00745C47" w:rsidRDefault="006C1233" w:rsidP="006C1233">
            <w:pPr>
              <w:jc w:val="center"/>
              <w:rPr>
                <w:rFonts w:ascii="Garamond" w:hAnsi="Garamond"/>
                <w:b/>
                <w:sz w:val="22"/>
              </w:rPr>
            </w:pPr>
            <w:r w:rsidRPr="00745C47">
              <w:rPr>
                <w:rFonts w:ascii="Garamond" w:hAnsi="Garamond"/>
                <w:b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088" w:type="dxa"/>
            <w:vAlign w:val="center"/>
          </w:tcPr>
          <w:p w:rsidR="006C1233" w:rsidRPr="00745C47" w:rsidRDefault="006C1233" w:rsidP="006C1233">
            <w:pPr>
              <w:jc w:val="center"/>
              <w:rPr>
                <w:rFonts w:ascii="Garamond" w:hAnsi="Garamond"/>
                <w:b/>
                <w:sz w:val="22"/>
              </w:rPr>
            </w:pPr>
            <w:r w:rsidRPr="00745C47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6C1233" w:rsidRPr="00745C47" w:rsidRDefault="006C1233" w:rsidP="006C1233">
            <w:pPr>
              <w:jc w:val="center"/>
              <w:rPr>
                <w:rFonts w:ascii="Garamond" w:hAnsi="Garamond"/>
                <w:sz w:val="22"/>
              </w:rPr>
            </w:pPr>
            <w:r w:rsidRPr="00745C47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FA0220" w:rsidRPr="00374D1F" w:rsidTr="0046439D">
        <w:trPr>
          <w:trHeight w:val="558"/>
        </w:trPr>
        <w:tc>
          <w:tcPr>
            <w:tcW w:w="959" w:type="dxa"/>
            <w:vAlign w:val="center"/>
          </w:tcPr>
          <w:p w:rsidR="00FA0220" w:rsidRPr="00374D1F" w:rsidRDefault="00FA0220" w:rsidP="00FA0220">
            <w:pPr>
              <w:ind w:left="-114" w:right="-108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5.1</w:t>
            </w:r>
          </w:p>
        </w:tc>
        <w:tc>
          <w:tcPr>
            <w:tcW w:w="7229" w:type="dxa"/>
          </w:tcPr>
          <w:p w:rsidR="007A6D29" w:rsidRPr="007A6D29" w:rsidRDefault="007A6D29" w:rsidP="007A6D29">
            <w:pPr>
              <w:spacing w:before="120" w:after="120"/>
              <w:jc w:val="both"/>
              <w:rPr>
                <w:rFonts w:ascii="Garamond" w:eastAsia="Batang" w:hAnsi="Garamond" w:cs="Garamond"/>
                <w:b/>
                <w:sz w:val="22"/>
                <w:szCs w:val="22"/>
                <w:lang w:eastAsia="ko-KR"/>
              </w:rPr>
            </w:pPr>
            <w:r>
              <w:rPr>
                <w:rFonts w:ascii="Garamond" w:eastAsia="Batang" w:hAnsi="Garamond" w:cs="Garamond"/>
                <w:b/>
                <w:sz w:val="22"/>
                <w:szCs w:val="22"/>
                <w:lang w:eastAsia="ko-KR"/>
              </w:rPr>
              <w:t xml:space="preserve">5. </w:t>
            </w:r>
            <w:r w:rsidRPr="007A6D29">
              <w:rPr>
                <w:rFonts w:ascii="Garamond" w:eastAsia="Batang" w:hAnsi="Garamond" w:cs="Garamond"/>
                <w:b/>
                <w:sz w:val="22"/>
                <w:szCs w:val="22"/>
                <w:lang w:eastAsia="ko-KR"/>
              </w:rPr>
              <w:t>ПОРЯДОК ПРОВЕДЕНИЯ АТТЕСТАЦИИ ПО ДАННЫМ КОНТРОЛЯ ГОТОВНОСТИ ГЕНЕРИРУЮЩЕГО ОБОРУДОВАНИЯ</w:t>
            </w:r>
          </w:p>
          <w:p w:rsidR="00FA0220" w:rsidRDefault="007A6D29" w:rsidP="00FA0220">
            <w:pPr>
              <w:spacing w:before="120" w:after="120"/>
              <w:ind w:firstLine="540"/>
              <w:jc w:val="both"/>
              <w:rPr>
                <w:rFonts w:ascii="Garamond" w:eastAsia="Batang" w:hAnsi="Garamond" w:cs="Garamond"/>
                <w:sz w:val="22"/>
                <w:szCs w:val="22"/>
                <w:lang w:eastAsia="ko-KR"/>
              </w:rPr>
            </w:pPr>
            <w:r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5.1. </w:t>
            </w:r>
            <w:r w:rsidR="00FA0220"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СО обязан инициировать процедуру тестирования генерирующего оборудования для целей аттестации при выявлении в соответствии с </w:t>
            </w:r>
            <w:r w:rsidR="00FA0220" w:rsidRPr="009722D2">
              <w:rPr>
                <w:rFonts w:ascii="Garamond" w:eastAsia="Batang" w:hAnsi="Garamond" w:cs="Garamond"/>
                <w:i/>
                <w:sz w:val="22"/>
                <w:szCs w:val="22"/>
                <w:lang w:eastAsia="ko-KR"/>
              </w:rPr>
              <w:t>Регламентом определения объемов фактически поставленной на оптовый рынок мощности</w:t>
            </w:r>
            <w:r w:rsidR="00FA0220"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 (Приложение № 13 к </w:t>
            </w:r>
            <w:r w:rsidR="00FA0220" w:rsidRPr="009722D2">
              <w:rPr>
                <w:rFonts w:ascii="Garamond" w:eastAsia="Batang" w:hAnsi="Garamond" w:cs="Garamond"/>
                <w:i/>
                <w:sz w:val="22"/>
                <w:szCs w:val="22"/>
                <w:lang w:eastAsia="ko-KR"/>
              </w:rPr>
              <w:t>Договору о присоединении к торговой системе оптового рынка</w:t>
            </w:r>
            <w:r w:rsidR="00FA0220"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)</w:t>
            </w:r>
            <w:r w:rsidR="00FA0220" w:rsidRPr="00FA0220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ko-KR"/>
              </w:rPr>
              <w:t>, в том числе при осуществлении функции мониторинга фактического эксплуатационного состояния оборудования</w:t>
            </w:r>
            <w:r w:rsidR="00FA0220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:</w:t>
            </w:r>
          </w:p>
          <w:p w:rsidR="00FA0220" w:rsidRDefault="00FA0220" w:rsidP="00FA0220">
            <w:pPr>
              <w:spacing w:before="120" w:after="120"/>
              <w:ind w:firstLine="540"/>
              <w:jc w:val="both"/>
              <w:rPr>
                <w:rFonts w:ascii="Garamond" w:hAnsi="Garamond" w:cs="Garamond"/>
                <w:sz w:val="22"/>
                <w:szCs w:val="22"/>
              </w:rPr>
            </w:pPr>
            <w:r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1) </w:t>
            </w: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фактов невыполнения непрерывно более 180 дней поставщиком мощности в отношении генерирующего оборудования обязательств по поддержанию своего генерирующего оборудования в состоянии готовности к выработке электроэнергии, предусмотренных Правилами оптового рынка</w:t>
            </w:r>
            <w:r>
              <w:rPr>
                <w:rFonts w:ascii="Garamond" w:hAnsi="Garamond"/>
                <w:sz w:val="22"/>
                <w:szCs w:val="22"/>
                <w:lang w:eastAsia="en-US"/>
              </w:rPr>
              <w:t xml:space="preserve">, </w:t>
            </w:r>
            <w:r w:rsidRPr="002470E0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и при изменении технических параметров генерирующего оборудования на основании документов и сведений, установленных настоящим Регламентом</w:t>
            </w:r>
            <w:r w:rsidRPr="00C4726A">
              <w:rPr>
                <w:rFonts w:ascii="Garamond" w:hAnsi="Garamond"/>
                <w:sz w:val="22"/>
                <w:szCs w:val="22"/>
              </w:rPr>
              <w:t xml:space="preserve">, </w:t>
            </w:r>
            <w:r w:rsidRPr="00C4726A">
              <w:rPr>
                <w:rFonts w:ascii="Garamond" w:hAnsi="Garamond" w:cs="Garamond"/>
                <w:sz w:val="22"/>
                <w:szCs w:val="22"/>
              </w:rPr>
              <w:t>а именно:</w:t>
            </w:r>
          </w:p>
          <w:p w:rsidR="00FA0220" w:rsidRPr="009722D2" w:rsidRDefault="00FA0220" w:rsidP="00FA0220">
            <w:pPr>
              <w:spacing w:before="120" w:after="120"/>
              <w:ind w:firstLine="540"/>
              <w:jc w:val="both"/>
              <w:rPr>
                <w:rFonts w:ascii="Garamond" w:eastAsia="Batang" w:hAnsi="Garamond" w:cs="Garamond"/>
                <w:sz w:val="22"/>
                <w:szCs w:val="22"/>
                <w:lang w:eastAsia="ko-KR"/>
              </w:rPr>
            </w:pP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а) если непрерывно в течение 180 (ста восьмидесяти) дней СО </w:t>
            </w:r>
            <w:r w:rsidRPr="009722D2">
              <w:rPr>
                <w:rFonts w:ascii="Garamond" w:hAnsi="Garamond"/>
                <w:bCs/>
                <w:sz w:val="22"/>
                <w:szCs w:val="22"/>
              </w:rPr>
              <w:t xml:space="preserve">было зарегистрировано несоответствие значений максимальной и минимальной мощности, а также фактических параметров генерирующего </w:t>
            </w: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оборудования техническим требованиям;</w:t>
            </w:r>
          </w:p>
          <w:p w:rsidR="00FA0220" w:rsidRPr="00FA0220" w:rsidRDefault="00FA0220" w:rsidP="00FA0220">
            <w:pPr>
              <w:spacing w:before="120" w:after="120"/>
              <w:ind w:firstLine="540"/>
              <w:jc w:val="both"/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ko-KR"/>
              </w:rPr>
            </w:pP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б)</w:t>
            </w:r>
            <w:r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FA0220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если по результатам осуществляемого СО мониторинга </w:t>
            </w:r>
            <w:r w:rsidRPr="00FA0220">
              <w:rPr>
                <w:rFonts w:ascii="Garamond" w:hAnsi="Garamond" w:cs="Garamond"/>
                <w:bCs/>
                <w:sz w:val="22"/>
                <w:szCs w:val="22"/>
                <w:highlight w:val="yellow"/>
                <w:lang w:eastAsia="ar-SA"/>
              </w:rPr>
              <w:t>фактического эксплуатационного состояния оборудования</w:t>
            </w:r>
            <w:r w:rsidRPr="00FA0220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ko-KR"/>
              </w:rPr>
              <w:t xml:space="preserve"> установлены факты проведения ремонтных работ и (или) полного или частичного отсутствия вспомогательного оборудования, которые могут препятствовать включению генерирующего оборудования, находящегося в резерве или консервации;</w:t>
            </w:r>
          </w:p>
          <w:p w:rsidR="00FA0220" w:rsidRPr="00FA0220" w:rsidRDefault="00FA0220" w:rsidP="00FA0220">
            <w:pPr>
              <w:spacing w:before="120" w:after="120"/>
              <w:ind w:firstLine="540"/>
              <w:jc w:val="both"/>
              <w:rPr>
                <w:rFonts w:ascii="Garamond" w:eastAsia="Batang" w:hAnsi="Garamond"/>
                <w:sz w:val="22"/>
                <w:szCs w:val="22"/>
                <w:highlight w:val="yellow"/>
                <w:lang w:eastAsia="ko-KR"/>
              </w:rPr>
            </w:pPr>
            <w:r w:rsidRPr="00FA0220">
              <w:rPr>
                <w:rFonts w:ascii="Garamond" w:eastAsia="Batang" w:hAnsi="Garamond"/>
                <w:sz w:val="22"/>
                <w:szCs w:val="22"/>
                <w:highlight w:val="yellow"/>
                <w:lang w:eastAsia="ko-KR"/>
              </w:rPr>
              <w:t xml:space="preserve">в) если по результатам </w:t>
            </w:r>
            <w:r w:rsidRPr="00FA0220">
              <w:rPr>
                <w:rFonts w:ascii="Garamond" w:hAnsi="Garamond"/>
                <w:sz w:val="22"/>
                <w:szCs w:val="22"/>
                <w:highlight w:val="yellow"/>
                <w:lang w:eastAsia="ar-SA"/>
              </w:rPr>
              <w:t xml:space="preserve">осуществляемого СО мониторинга фактического эксплуатационного состояния генерирующего оборудования </w:t>
            </w:r>
            <w:r w:rsidRPr="00FA0220">
              <w:rPr>
                <w:rFonts w:ascii="Garamond" w:eastAsia="Batang" w:hAnsi="Garamond"/>
                <w:sz w:val="22"/>
                <w:szCs w:val="22"/>
                <w:highlight w:val="yellow"/>
                <w:lang w:eastAsia="ko-KR"/>
              </w:rPr>
              <w:t>выявлено фактическое отсутствие основного энергетического оборудования.</w:t>
            </w:r>
          </w:p>
          <w:p w:rsidR="00FA0220" w:rsidRPr="00316990" w:rsidRDefault="00FA0220" w:rsidP="00FA0220">
            <w:pPr>
              <w:spacing w:before="120" w:after="120"/>
              <w:ind w:firstLine="606"/>
              <w:jc w:val="both"/>
              <w:rPr>
                <w:rFonts w:ascii="Garamond" w:hAnsi="Garamond" w:cs="Garamond"/>
                <w:sz w:val="22"/>
                <w:szCs w:val="22"/>
              </w:rPr>
            </w:pPr>
            <w:r w:rsidRPr="00316990">
              <w:rPr>
                <w:rFonts w:ascii="Garamond" w:hAnsi="Garamond" w:cs="Garamond"/>
                <w:sz w:val="22"/>
                <w:szCs w:val="22"/>
              </w:rPr>
              <w:t xml:space="preserve">2) нахождения генерирующего оборудования в холодном резерве непрерывно более 11 календарных месяцев (в </w:t>
            </w:r>
            <w:proofErr w:type="spellStart"/>
            <w:r w:rsidRPr="00316990">
              <w:rPr>
                <w:rFonts w:ascii="Garamond" w:hAnsi="Garamond" w:cs="Garamond"/>
                <w:sz w:val="22"/>
                <w:szCs w:val="22"/>
              </w:rPr>
              <w:t>т.ч</w:t>
            </w:r>
            <w:proofErr w:type="spellEnd"/>
            <w:r w:rsidRPr="00316990">
              <w:rPr>
                <w:rFonts w:ascii="Garamond" w:hAnsi="Garamond" w:cs="Garamond"/>
                <w:sz w:val="22"/>
                <w:szCs w:val="22"/>
              </w:rPr>
              <w:t>. в случае если в течение указанного периода генерирующее оборудование переводилось в состояние «ремонт», «консервация», «вынужденный простой» без его включения в работу);</w:t>
            </w:r>
          </w:p>
          <w:p w:rsidR="00FA0220" w:rsidRPr="00316990" w:rsidRDefault="00FA0220" w:rsidP="00FA0220">
            <w:pPr>
              <w:spacing w:before="120" w:after="120"/>
              <w:ind w:firstLine="540"/>
              <w:jc w:val="both"/>
              <w:rPr>
                <w:rFonts w:ascii="Garamond" w:eastAsia="Batang" w:hAnsi="Garamond"/>
                <w:sz w:val="22"/>
                <w:szCs w:val="22"/>
                <w:lang w:eastAsia="ko-KR"/>
              </w:rPr>
            </w:pPr>
            <w:r w:rsidRPr="00316990">
              <w:rPr>
                <w:rFonts w:ascii="Garamond" w:hAnsi="Garamond" w:cs="Garamond"/>
                <w:sz w:val="22"/>
                <w:szCs w:val="22"/>
              </w:rPr>
              <w:lastRenderedPageBreak/>
              <w:t>3) превышения показателя неготовности по ГТП, в состав которой входит генерирующее оборудование,</w:t>
            </w:r>
            <w:r w:rsidRPr="00316990">
              <w:rPr>
                <w:rFonts w:ascii="Garamond" w:hAnsi="Garamond"/>
                <w:sz w:val="22"/>
                <w:szCs w:val="22"/>
              </w:rPr>
              <w:t xml:space="preserve"> в отношении которого поставка мощности осуществляется по ДПМ или договорам купли-продажи мощности новых АЭС/ГЭС,</w:t>
            </w:r>
            <w:r w:rsidRPr="00316990">
              <w:rPr>
                <w:rFonts w:ascii="Garamond" w:hAnsi="Garamond" w:cs="Garamond"/>
                <w:sz w:val="22"/>
                <w:szCs w:val="22"/>
              </w:rPr>
              <w:t xml:space="preserve"> относительно минимальной из величин предельного объема поставки мощности и объема установленной мощности.</w:t>
            </w:r>
          </w:p>
          <w:p w:rsidR="00FA0220" w:rsidRPr="00D91A05" w:rsidRDefault="00FA0220" w:rsidP="00FA0220">
            <w:pPr>
              <w:spacing w:before="120" w:after="120"/>
              <w:ind w:firstLine="54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FA0220">
              <w:rPr>
                <w:rFonts w:ascii="Garamond" w:hAnsi="Garamond" w:cs="Garamond"/>
                <w:bCs/>
                <w:sz w:val="22"/>
                <w:szCs w:val="22"/>
                <w:highlight w:val="yellow"/>
                <w:lang w:eastAsia="ar-SA"/>
              </w:rPr>
              <w:t>Порядок мониторинга фактического эксплуатационного состояния оборудования определяется Порядком установления соответствия генерирующего оборудования участников ОРЭ техническим требованиям</w:t>
            </w:r>
            <w:r w:rsidRPr="009722D2">
              <w:rPr>
                <w:rFonts w:ascii="Garamond" w:hAnsi="Garamond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7088" w:type="dxa"/>
          </w:tcPr>
          <w:p w:rsidR="007A6D29" w:rsidRPr="007A6D29" w:rsidRDefault="007A6D29" w:rsidP="007A6D29">
            <w:pPr>
              <w:spacing w:before="120" w:after="120"/>
              <w:jc w:val="both"/>
              <w:rPr>
                <w:rFonts w:ascii="Garamond" w:eastAsia="Batang" w:hAnsi="Garamond" w:cs="Garamond"/>
                <w:b/>
                <w:sz w:val="22"/>
                <w:szCs w:val="22"/>
                <w:lang w:eastAsia="ko-KR"/>
              </w:rPr>
            </w:pPr>
            <w:r>
              <w:rPr>
                <w:rFonts w:ascii="Garamond" w:eastAsia="Batang" w:hAnsi="Garamond" w:cs="Garamond"/>
                <w:b/>
                <w:sz w:val="22"/>
                <w:szCs w:val="22"/>
                <w:lang w:eastAsia="ko-KR"/>
              </w:rPr>
              <w:lastRenderedPageBreak/>
              <w:t xml:space="preserve">5. </w:t>
            </w:r>
            <w:r w:rsidRPr="007A6D29">
              <w:rPr>
                <w:rFonts w:ascii="Garamond" w:eastAsia="Batang" w:hAnsi="Garamond" w:cs="Garamond"/>
                <w:b/>
                <w:sz w:val="22"/>
                <w:szCs w:val="22"/>
                <w:lang w:eastAsia="ko-KR"/>
              </w:rPr>
              <w:t>ПОРЯДОК ПРОВЕДЕНИЯ АТТЕСТАЦИИ ПО ДАННЫМ КОНТРОЛЯ ГОТОВНОСТИ ГЕНЕРИРУЮЩЕГО ОБОРУДОВАНИЯ</w:t>
            </w:r>
          </w:p>
          <w:p w:rsidR="00FA0220" w:rsidRDefault="007A6D29" w:rsidP="007A6D29">
            <w:pPr>
              <w:spacing w:before="120" w:after="120"/>
              <w:ind w:firstLine="540"/>
              <w:jc w:val="both"/>
              <w:rPr>
                <w:rFonts w:ascii="Garamond" w:eastAsia="Batang" w:hAnsi="Garamond" w:cs="Garamond"/>
                <w:sz w:val="22"/>
                <w:szCs w:val="22"/>
                <w:lang w:eastAsia="ko-KR"/>
              </w:rPr>
            </w:pPr>
            <w:r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5.1. </w:t>
            </w:r>
            <w:r w:rsidR="00FA0220"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СО обязан инициировать процедуру тестирования генерирующего оборудования для целей аттестации при выявлении в соответствии с </w:t>
            </w:r>
            <w:r w:rsidR="00FA0220" w:rsidRPr="009722D2">
              <w:rPr>
                <w:rFonts w:ascii="Garamond" w:eastAsia="Batang" w:hAnsi="Garamond" w:cs="Garamond"/>
                <w:i/>
                <w:sz w:val="22"/>
                <w:szCs w:val="22"/>
                <w:lang w:eastAsia="ko-KR"/>
              </w:rPr>
              <w:t>Регламентом определения объемов фактически поставленной на оптовый рынок мощности</w:t>
            </w:r>
            <w:r w:rsidR="00FA0220"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 (Приложение № 13 к </w:t>
            </w:r>
            <w:r w:rsidR="00FA0220" w:rsidRPr="009722D2">
              <w:rPr>
                <w:rFonts w:ascii="Garamond" w:eastAsia="Batang" w:hAnsi="Garamond" w:cs="Garamond"/>
                <w:i/>
                <w:sz w:val="22"/>
                <w:szCs w:val="22"/>
                <w:lang w:eastAsia="ko-KR"/>
              </w:rPr>
              <w:t>Договору о присоединении к торговой системе оптового рынка</w:t>
            </w:r>
            <w:r w:rsidR="00FA0220"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)</w:t>
            </w:r>
            <w:r w:rsidR="00FA0220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:</w:t>
            </w:r>
          </w:p>
          <w:p w:rsidR="00FA0220" w:rsidRDefault="00FA0220" w:rsidP="00FA0220">
            <w:pPr>
              <w:spacing w:before="120" w:after="120"/>
              <w:ind w:firstLine="540"/>
              <w:jc w:val="both"/>
              <w:rPr>
                <w:rFonts w:ascii="Garamond" w:hAnsi="Garamond" w:cs="Garamond"/>
                <w:sz w:val="22"/>
                <w:szCs w:val="22"/>
              </w:rPr>
            </w:pPr>
            <w:r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1) </w:t>
            </w: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фактов невыполнения непрерывно более 180 дней поставщиком мощности в отношении генерирующего оборудования обязательств по поддержанию своего генерирующего оборудования в состоянии готовности к выработке электроэнергии, предусмотренных Правилами оптового рынка</w:t>
            </w:r>
            <w:r>
              <w:rPr>
                <w:rFonts w:ascii="Garamond" w:hAnsi="Garamond"/>
                <w:sz w:val="22"/>
                <w:szCs w:val="22"/>
                <w:lang w:eastAsia="en-US"/>
              </w:rPr>
              <w:t xml:space="preserve">, </w:t>
            </w:r>
            <w:r w:rsidRPr="002470E0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и при изменении технических параметров генерирующего оборудования на основании документов и сведений, установленных настоящим Регламентом</w:t>
            </w:r>
            <w:r w:rsidRPr="00C4726A">
              <w:rPr>
                <w:rFonts w:ascii="Garamond" w:hAnsi="Garamond"/>
                <w:sz w:val="22"/>
                <w:szCs w:val="22"/>
              </w:rPr>
              <w:t xml:space="preserve">, </w:t>
            </w:r>
            <w:r w:rsidRPr="00C4726A">
              <w:rPr>
                <w:rFonts w:ascii="Garamond" w:hAnsi="Garamond" w:cs="Garamond"/>
                <w:sz w:val="22"/>
                <w:szCs w:val="22"/>
              </w:rPr>
              <w:t>а именно:</w:t>
            </w:r>
          </w:p>
          <w:p w:rsidR="00FA0220" w:rsidRPr="009722D2" w:rsidRDefault="00FA0220" w:rsidP="00FA0220">
            <w:pPr>
              <w:spacing w:before="120" w:after="120"/>
              <w:ind w:firstLine="540"/>
              <w:jc w:val="both"/>
              <w:rPr>
                <w:rFonts w:ascii="Garamond" w:eastAsia="Batang" w:hAnsi="Garamond" w:cs="Garamond"/>
                <w:sz w:val="22"/>
                <w:szCs w:val="22"/>
                <w:lang w:eastAsia="ko-KR"/>
              </w:rPr>
            </w:pP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а) если непрерывно в течение 180 (ста восьмидесяти) дней СО </w:t>
            </w:r>
            <w:r w:rsidRPr="009722D2">
              <w:rPr>
                <w:rFonts w:ascii="Garamond" w:hAnsi="Garamond"/>
                <w:bCs/>
                <w:sz w:val="22"/>
                <w:szCs w:val="22"/>
              </w:rPr>
              <w:t xml:space="preserve">было зарегистрировано несоответствие значений максимальной и минимальной мощности, а также фактических параметров генерирующего </w:t>
            </w: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оборудования техническим требованиям;</w:t>
            </w:r>
          </w:p>
          <w:p w:rsidR="00FA0220" w:rsidRPr="00316990" w:rsidRDefault="00FA0220" w:rsidP="00FA0220">
            <w:pPr>
              <w:spacing w:before="120" w:after="120"/>
              <w:ind w:firstLine="606"/>
              <w:jc w:val="both"/>
              <w:rPr>
                <w:rFonts w:ascii="Garamond" w:hAnsi="Garamond" w:cs="Garamond"/>
                <w:sz w:val="22"/>
                <w:szCs w:val="22"/>
              </w:rPr>
            </w:pPr>
            <w:r w:rsidRPr="00316990">
              <w:rPr>
                <w:rFonts w:ascii="Garamond" w:hAnsi="Garamond" w:cs="Garamond"/>
                <w:sz w:val="22"/>
                <w:szCs w:val="22"/>
              </w:rPr>
              <w:t xml:space="preserve">2) нахождения генерирующего оборудования в холодном резерве непрерывно более 11 календарных месяцев (в </w:t>
            </w:r>
            <w:proofErr w:type="spellStart"/>
            <w:r w:rsidRPr="00316990">
              <w:rPr>
                <w:rFonts w:ascii="Garamond" w:hAnsi="Garamond" w:cs="Garamond"/>
                <w:sz w:val="22"/>
                <w:szCs w:val="22"/>
              </w:rPr>
              <w:t>т.ч</w:t>
            </w:r>
            <w:proofErr w:type="spellEnd"/>
            <w:r w:rsidRPr="00316990">
              <w:rPr>
                <w:rFonts w:ascii="Garamond" w:hAnsi="Garamond" w:cs="Garamond"/>
                <w:sz w:val="22"/>
                <w:szCs w:val="22"/>
              </w:rPr>
              <w:t>. в случае если в течение указанного периода генерирующее оборудование переводилось в состояние «ремонт», «консервация», «вынужденный простой» без его включения в работу);</w:t>
            </w:r>
          </w:p>
          <w:p w:rsidR="00FA0220" w:rsidRPr="00316990" w:rsidRDefault="00FA0220" w:rsidP="00FA0220">
            <w:pPr>
              <w:spacing w:before="120" w:after="120"/>
              <w:ind w:firstLine="540"/>
              <w:jc w:val="both"/>
              <w:rPr>
                <w:rFonts w:ascii="Garamond" w:eastAsia="Batang" w:hAnsi="Garamond"/>
                <w:sz w:val="22"/>
                <w:szCs w:val="22"/>
                <w:lang w:eastAsia="ko-KR"/>
              </w:rPr>
            </w:pPr>
            <w:r w:rsidRPr="00316990">
              <w:rPr>
                <w:rFonts w:ascii="Garamond" w:hAnsi="Garamond" w:cs="Garamond"/>
                <w:sz w:val="22"/>
                <w:szCs w:val="22"/>
              </w:rPr>
              <w:t>3) превышения показателя неготовности по ГТП, в состав которой входит генерирующее оборудование,</w:t>
            </w:r>
            <w:r w:rsidRPr="00316990">
              <w:rPr>
                <w:rFonts w:ascii="Garamond" w:hAnsi="Garamond"/>
                <w:sz w:val="22"/>
                <w:szCs w:val="22"/>
              </w:rPr>
              <w:t xml:space="preserve"> в отношении которого поставка мощности осуществляется по ДПМ или договорам купли-продажи мощности новых АЭС/ГЭС,</w:t>
            </w:r>
            <w:r w:rsidRPr="00316990">
              <w:rPr>
                <w:rFonts w:ascii="Garamond" w:hAnsi="Garamond" w:cs="Garamond"/>
                <w:sz w:val="22"/>
                <w:szCs w:val="22"/>
              </w:rPr>
              <w:t xml:space="preserve"> относительно минимальной из величин предельного объема поставки мощности и объема установленной мощности.</w:t>
            </w:r>
          </w:p>
          <w:p w:rsidR="00FA0220" w:rsidRPr="00D91A05" w:rsidRDefault="00FA0220" w:rsidP="00FA0220">
            <w:pPr>
              <w:spacing w:before="120" w:after="120"/>
              <w:ind w:firstLine="540"/>
              <w:jc w:val="both"/>
              <w:rPr>
                <w:rFonts w:ascii="Garamond" w:hAnsi="Garamond"/>
                <w:bCs/>
                <w:sz w:val="22"/>
                <w:szCs w:val="22"/>
              </w:rPr>
            </w:pPr>
          </w:p>
        </w:tc>
      </w:tr>
      <w:tr w:rsidR="00FA0220" w:rsidRPr="00374D1F" w:rsidTr="0046439D">
        <w:trPr>
          <w:trHeight w:val="558"/>
        </w:trPr>
        <w:tc>
          <w:tcPr>
            <w:tcW w:w="959" w:type="dxa"/>
            <w:vAlign w:val="center"/>
          </w:tcPr>
          <w:p w:rsidR="00FA0220" w:rsidRPr="00374D1F" w:rsidRDefault="00FA0220" w:rsidP="00FA0220">
            <w:pPr>
              <w:ind w:left="-114" w:right="-108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5.2</w:t>
            </w:r>
          </w:p>
        </w:tc>
        <w:tc>
          <w:tcPr>
            <w:tcW w:w="7229" w:type="dxa"/>
          </w:tcPr>
          <w:p w:rsidR="00FA0220" w:rsidRPr="009722D2" w:rsidRDefault="007A6D29" w:rsidP="00FA0220">
            <w:pPr>
              <w:spacing w:before="120" w:after="120"/>
              <w:ind w:firstLine="540"/>
              <w:jc w:val="both"/>
              <w:rPr>
                <w:rFonts w:ascii="Garamond" w:eastAsia="Batang" w:hAnsi="Garamond" w:cs="Garamond"/>
                <w:sz w:val="22"/>
                <w:szCs w:val="22"/>
                <w:lang w:eastAsia="ko-KR"/>
              </w:rPr>
            </w:pPr>
            <w:r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5.2. </w:t>
            </w:r>
            <w:r w:rsidR="00FA0220"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При выявлении обстоятельств, указанных в </w:t>
            </w:r>
            <w:r w:rsidR="00FA0220" w:rsidRPr="00FA0220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ko-KR"/>
              </w:rPr>
              <w:t>подпунктах «а», «б», «г»</w:t>
            </w:r>
            <w:r w:rsidR="00FA0220" w:rsidRPr="00FA0220">
              <w:rPr>
                <w:rFonts w:ascii="Garamond" w:eastAsia="Batang" w:hAnsi="Garamond" w:cs="Garamond"/>
                <w:highlight w:val="yellow"/>
                <w:lang w:eastAsia="ko-KR"/>
              </w:rPr>
              <w:t xml:space="preserve"> </w:t>
            </w:r>
            <w:r w:rsidR="00FA0220" w:rsidRPr="00FA0220">
              <w:rPr>
                <w:rFonts w:ascii="Garamond" w:hAnsi="Garamond" w:cs="Garamond"/>
                <w:sz w:val="22"/>
                <w:szCs w:val="22"/>
                <w:highlight w:val="yellow"/>
              </w:rPr>
              <w:t>подпункта 1, а также подпунктах 2, 3</w:t>
            </w:r>
            <w:r w:rsidR="00FA0220" w:rsidRPr="000D6D7A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="00FA0220" w:rsidRPr="000D6D7A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п. 5.1 настоящего Регламента, СО направляет поставщику мощности требование о необходимости подтверждения мощности генерирующего обору</w:t>
            </w:r>
            <w:r w:rsidR="00FA0220"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дования путем проведения его тестирования. </w:t>
            </w:r>
          </w:p>
          <w:p w:rsidR="00FA0220" w:rsidRPr="009722D2" w:rsidRDefault="00FA0220" w:rsidP="00FA0220">
            <w:pPr>
              <w:spacing w:before="120" w:after="120"/>
              <w:ind w:firstLine="540"/>
              <w:jc w:val="both"/>
              <w:rPr>
                <w:rFonts w:ascii="Garamond" w:eastAsia="Batang" w:hAnsi="Garamond" w:cs="Garamond"/>
                <w:sz w:val="22"/>
                <w:szCs w:val="22"/>
                <w:lang w:eastAsia="ko-KR"/>
              </w:rPr>
            </w:pP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Поставщик мощности должен выполнить предусмотренные разделом 3 настоящего Регламента процедуры в следующие сроки:</w:t>
            </w:r>
          </w:p>
          <w:p w:rsidR="00FA0220" w:rsidRPr="006534A9" w:rsidRDefault="00FA0220" w:rsidP="00FA0220">
            <w:pPr>
              <w:spacing w:before="120" w:after="120"/>
              <w:ind w:firstLine="540"/>
              <w:jc w:val="both"/>
              <w:rPr>
                <w:rFonts w:ascii="Garamond" w:eastAsia="Batang" w:hAnsi="Garamond" w:cs="Garamond"/>
                <w:sz w:val="22"/>
                <w:szCs w:val="22"/>
                <w:lang w:eastAsia="ko-KR"/>
              </w:rPr>
            </w:pP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– в течение 3 (трех) месяцев с момента направления поставщику мощности указанного требования в случае выявления обстоятельств, указанных в </w:t>
            </w:r>
            <w:r w:rsidRPr="00FA0220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подпункте</w:t>
            </w:r>
            <w:r w:rsidRPr="00FA0220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ko-KR"/>
              </w:rPr>
              <w:t xml:space="preserve"> «а» или «г»</w:t>
            </w:r>
            <w:r>
              <w:rPr>
                <w:rFonts w:ascii="Garamond" w:eastAsia="Batang" w:hAnsi="Garamond" w:cs="Garamond"/>
                <w:lang w:eastAsia="ko-KR"/>
              </w:rPr>
              <w:t xml:space="preserve"> </w:t>
            </w: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п. 5.1 настоящего </w:t>
            </w:r>
            <w:r w:rsidRPr="006534A9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Регламента, за исключением случаев, указанных в п. 5.3 настоящего Регламента; </w:t>
            </w:r>
          </w:p>
          <w:p w:rsidR="00FA0220" w:rsidRPr="009722D2" w:rsidRDefault="00FA0220" w:rsidP="00FA0220">
            <w:pPr>
              <w:spacing w:before="120" w:after="120"/>
              <w:ind w:firstLine="540"/>
              <w:jc w:val="both"/>
              <w:rPr>
                <w:rFonts w:ascii="Garamond" w:eastAsia="Batang" w:hAnsi="Garamond" w:cs="Garamond"/>
                <w:sz w:val="22"/>
                <w:szCs w:val="22"/>
                <w:lang w:eastAsia="ko-KR"/>
              </w:rPr>
            </w:pP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– </w:t>
            </w:r>
            <w:r w:rsidRPr="00FA0220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ko-KR"/>
              </w:rPr>
              <w:t>в течение 1 (одного) месяца с момента направления поставщику мощности указанного требования в случае, если при выявлении обстоятельств, указанных в подпункте «б» п. 5.1 настоящего Регламента, соответствующее генерирующее оборудование находилось в резерве;</w:t>
            </w: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 </w:t>
            </w:r>
          </w:p>
          <w:p w:rsidR="00FA0220" w:rsidRPr="0024275B" w:rsidRDefault="00FA0220" w:rsidP="00FA0220">
            <w:pPr>
              <w:spacing w:before="120" w:after="120"/>
              <w:ind w:firstLine="540"/>
              <w:jc w:val="both"/>
              <w:rPr>
                <w:rFonts w:ascii="Garamond" w:eastAsia="Batang" w:hAnsi="Garamond" w:cs="Garamond"/>
                <w:sz w:val="22"/>
                <w:szCs w:val="22"/>
                <w:lang w:eastAsia="ko-KR"/>
              </w:rPr>
            </w:pP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– </w:t>
            </w:r>
            <w:r w:rsidRPr="001A30C1">
              <w:rPr>
                <w:rFonts w:ascii="Garamond" w:hAnsi="Garamond" w:cs="Garamond"/>
                <w:sz w:val="22"/>
                <w:szCs w:val="22"/>
              </w:rPr>
              <w:t xml:space="preserve">в течение 2 (двух) месяцев с момента направления поставщику мощности указанного требования в случае выявления обстоятельств, указанных в подпунктах 2, 3 п. 5.1 настоящего </w:t>
            </w:r>
            <w:r w:rsidRPr="0024275B">
              <w:rPr>
                <w:rFonts w:ascii="Garamond" w:hAnsi="Garamond" w:cs="Garamond"/>
                <w:sz w:val="22"/>
                <w:szCs w:val="22"/>
              </w:rPr>
              <w:t>Регламента, а также в случае, если при выявлении обстоятельств, указанных в подпункте «б» подпункта 1 п. 5.1 настоящего Регламента, соответствующее генерирующее оборудование находилось в консервации.</w:t>
            </w:r>
          </w:p>
          <w:p w:rsidR="00FA0220" w:rsidRPr="0024275B" w:rsidRDefault="00FA0220" w:rsidP="00FA0220">
            <w:pPr>
              <w:spacing w:before="120" w:after="120"/>
              <w:ind w:firstLine="540"/>
              <w:jc w:val="both"/>
              <w:rPr>
                <w:rFonts w:ascii="Garamond" w:eastAsia="Batang" w:hAnsi="Garamond" w:cs="Garamond"/>
                <w:sz w:val="22"/>
                <w:szCs w:val="22"/>
                <w:lang w:eastAsia="ko-KR"/>
              </w:rPr>
            </w:pPr>
            <w:r w:rsidRPr="0024275B">
              <w:rPr>
                <w:rFonts w:ascii="Garamond" w:hAnsi="Garamond"/>
                <w:sz w:val="22"/>
                <w:szCs w:val="22"/>
              </w:rPr>
              <w:t>При выявлении обстоятельств, указанных в подпункте 2 п. 5.1 настоящего Регламента, длящихся по состоянию на 01.01.2018 более 11 месяцев, месяцем выявления указанных обстоятельств считается январь 2018 года.</w:t>
            </w:r>
          </w:p>
          <w:p w:rsidR="00FA0220" w:rsidRPr="009722D2" w:rsidRDefault="00FA0220" w:rsidP="00FA0220">
            <w:pPr>
              <w:tabs>
                <w:tab w:val="left" w:pos="1080"/>
              </w:tabs>
              <w:spacing w:before="120" w:after="120"/>
              <w:ind w:firstLine="540"/>
              <w:jc w:val="both"/>
              <w:rPr>
                <w:rFonts w:ascii="Garamond" w:eastAsia="Batang" w:hAnsi="Garamond" w:cs="Garamond"/>
                <w:sz w:val="22"/>
                <w:szCs w:val="22"/>
                <w:lang w:eastAsia="ko-KR"/>
              </w:rPr>
            </w:pPr>
            <w:r w:rsidRPr="0024275B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lastRenderedPageBreak/>
              <w:t xml:space="preserve">В случае если при проведении тестирования данные, содержащиеся в Реестре </w:t>
            </w:r>
            <w:r w:rsidRPr="0024275B">
              <w:rPr>
                <w:rFonts w:ascii="Garamond" w:hAnsi="Garamond"/>
                <w:sz w:val="22"/>
                <w:szCs w:val="22"/>
                <w:lang w:eastAsia="en-US"/>
              </w:rPr>
              <w:t>фактических параметров генерирующего</w:t>
            </w:r>
            <w:r w:rsidRPr="009722D2">
              <w:rPr>
                <w:rFonts w:ascii="Garamond" w:hAnsi="Garamond"/>
                <w:sz w:val="22"/>
                <w:szCs w:val="22"/>
                <w:lang w:eastAsia="en-US"/>
              </w:rPr>
              <w:t xml:space="preserve"> оборудования</w:t>
            </w: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, не были подтверждены, </w:t>
            </w:r>
            <w:r w:rsidRPr="009722D2">
              <w:rPr>
                <w:rFonts w:ascii="Garamond" w:hAnsi="Garamond"/>
                <w:bCs/>
                <w:sz w:val="22"/>
                <w:szCs w:val="22"/>
              </w:rPr>
              <w:t xml:space="preserve">СО обязан внести изменения в </w:t>
            </w: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Реестр фактических параметров генерирующего оборудования и формируемый на его основе Реестр </w:t>
            </w:r>
            <w:r w:rsidRPr="009722D2">
              <w:rPr>
                <w:rFonts w:ascii="Garamond" w:eastAsia="Batang" w:hAnsi="Garamond"/>
                <w:sz w:val="22"/>
                <w:szCs w:val="22"/>
              </w:rPr>
              <w:t>предельных объемов поставки мощности генерирующего оборудования</w:t>
            </w: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 путем корректировки ранее зарегистрированных в указанных реестрах значений соответствующих параметров на значения, зарегистрированные СО по результатам тестирования</w:t>
            </w:r>
            <w:r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.</w:t>
            </w:r>
          </w:p>
        </w:tc>
        <w:tc>
          <w:tcPr>
            <w:tcW w:w="7088" w:type="dxa"/>
          </w:tcPr>
          <w:p w:rsidR="00FA0220" w:rsidRPr="009722D2" w:rsidRDefault="007A6D29" w:rsidP="00FA0220">
            <w:pPr>
              <w:spacing w:before="120" w:after="120"/>
              <w:ind w:firstLine="540"/>
              <w:jc w:val="both"/>
              <w:rPr>
                <w:rFonts w:ascii="Garamond" w:eastAsia="Batang" w:hAnsi="Garamond" w:cs="Garamond"/>
                <w:sz w:val="22"/>
                <w:szCs w:val="22"/>
                <w:lang w:eastAsia="ko-KR"/>
              </w:rPr>
            </w:pPr>
            <w:r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lastRenderedPageBreak/>
              <w:t xml:space="preserve">5.2. </w:t>
            </w:r>
            <w:r w:rsidR="00FA0220"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При выявлении обстоятельств, указанных в </w:t>
            </w:r>
            <w:r w:rsidR="00FA0220" w:rsidRPr="000D6D7A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п. 5.1 настоящего Регламента, СО направляет поставщику мощности требование о необходимости подтверждения мощности генерирующего обору</w:t>
            </w:r>
            <w:r w:rsidR="00FA0220"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дования путем проведения его тестирования. </w:t>
            </w:r>
          </w:p>
          <w:p w:rsidR="00FA0220" w:rsidRPr="009722D2" w:rsidRDefault="00FA0220" w:rsidP="00FA0220">
            <w:pPr>
              <w:spacing w:before="120" w:after="120"/>
              <w:ind w:firstLine="540"/>
              <w:jc w:val="both"/>
              <w:rPr>
                <w:rFonts w:ascii="Garamond" w:eastAsia="Batang" w:hAnsi="Garamond" w:cs="Garamond"/>
                <w:sz w:val="22"/>
                <w:szCs w:val="22"/>
                <w:lang w:eastAsia="ko-KR"/>
              </w:rPr>
            </w:pP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Поставщик мощности должен выполнить предусмотренные разделом 3 настоящего Регламента процедуры в следующие сроки:</w:t>
            </w:r>
          </w:p>
          <w:p w:rsidR="00FA0220" w:rsidRPr="006534A9" w:rsidRDefault="00FA0220" w:rsidP="00FA0220">
            <w:pPr>
              <w:spacing w:before="120" w:after="120"/>
              <w:ind w:firstLine="540"/>
              <w:jc w:val="both"/>
              <w:rPr>
                <w:rFonts w:ascii="Garamond" w:eastAsia="Batang" w:hAnsi="Garamond" w:cs="Garamond"/>
                <w:sz w:val="22"/>
                <w:szCs w:val="22"/>
                <w:lang w:eastAsia="ko-KR"/>
              </w:rPr>
            </w:pP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– в течение 3 (трех) месяцев с момента направления поставщику мощности указанного требования в случае выявления обстоятельств, указанных в </w:t>
            </w:r>
            <w:r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подпункте </w:t>
            </w:r>
            <w:r w:rsidRPr="00FA0220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ko-KR"/>
              </w:rPr>
              <w:t>1</w:t>
            </w:r>
            <w:r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 </w:t>
            </w: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п. 5.1 настоящего </w:t>
            </w:r>
            <w:r w:rsidRPr="006534A9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Регламента, за исключением случаев, указанных в п. 5.3 настоящего Регламента; </w:t>
            </w:r>
          </w:p>
          <w:p w:rsidR="00FA0220" w:rsidRPr="0024275B" w:rsidRDefault="00FA0220" w:rsidP="00FA0220">
            <w:pPr>
              <w:spacing w:before="120" w:after="120"/>
              <w:ind w:firstLine="540"/>
              <w:jc w:val="both"/>
              <w:rPr>
                <w:rFonts w:ascii="Garamond" w:eastAsia="Batang" w:hAnsi="Garamond" w:cs="Garamond"/>
                <w:sz w:val="22"/>
                <w:szCs w:val="22"/>
                <w:lang w:eastAsia="ko-KR"/>
              </w:rPr>
            </w:pP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– </w:t>
            </w:r>
            <w:r w:rsidRPr="001A30C1">
              <w:rPr>
                <w:rFonts w:ascii="Garamond" w:hAnsi="Garamond" w:cs="Garamond"/>
                <w:sz w:val="22"/>
                <w:szCs w:val="22"/>
              </w:rPr>
              <w:t xml:space="preserve">в течение 2 (двух) месяцев с момента направления поставщику мощности указанного требования в случае выявления обстоятельств, указанных в подпунктах 2, 3 п. 5.1 настоящего </w:t>
            </w:r>
            <w:r w:rsidRPr="0024275B">
              <w:rPr>
                <w:rFonts w:ascii="Garamond" w:hAnsi="Garamond" w:cs="Garamond"/>
                <w:sz w:val="22"/>
                <w:szCs w:val="22"/>
              </w:rPr>
              <w:t>Регламента.</w:t>
            </w:r>
          </w:p>
          <w:p w:rsidR="00FA0220" w:rsidRPr="0024275B" w:rsidRDefault="00FA0220" w:rsidP="00FA0220">
            <w:pPr>
              <w:spacing w:before="120" w:after="120"/>
              <w:ind w:firstLine="540"/>
              <w:jc w:val="both"/>
              <w:rPr>
                <w:rFonts w:ascii="Garamond" w:eastAsia="Batang" w:hAnsi="Garamond" w:cs="Garamond"/>
                <w:sz w:val="22"/>
                <w:szCs w:val="22"/>
                <w:lang w:eastAsia="ko-KR"/>
              </w:rPr>
            </w:pPr>
            <w:r w:rsidRPr="0024275B">
              <w:rPr>
                <w:rFonts w:ascii="Garamond" w:hAnsi="Garamond"/>
                <w:sz w:val="22"/>
                <w:szCs w:val="22"/>
              </w:rPr>
              <w:t>При выявлении обстоятельств, указанных в подпункте 2 п. 5.1 настоящего Регламента, длящихся по состоянию на 01.01.2018 более 11 месяцев, месяцем выявления указанных обстоятельств считается январь 2018 года.</w:t>
            </w:r>
          </w:p>
          <w:p w:rsidR="00FA0220" w:rsidRPr="009722D2" w:rsidRDefault="00FA0220" w:rsidP="00FA0220">
            <w:pPr>
              <w:tabs>
                <w:tab w:val="left" w:pos="1080"/>
              </w:tabs>
              <w:spacing w:before="120" w:after="120"/>
              <w:ind w:firstLine="540"/>
              <w:jc w:val="both"/>
              <w:rPr>
                <w:rFonts w:ascii="Garamond" w:eastAsia="Batang" w:hAnsi="Garamond" w:cs="Garamond"/>
                <w:sz w:val="22"/>
                <w:szCs w:val="22"/>
                <w:lang w:eastAsia="ko-KR"/>
              </w:rPr>
            </w:pPr>
            <w:r w:rsidRPr="0024275B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В случае если при проведении тестирования данные, содержащиеся в Реестре </w:t>
            </w:r>
            <w:r w:rsidRPr="0024275B">
              <w:rPr>
                <w:rFonts w:ascii="Garamond" w:hAnsi="Garamond"/>
                <w:sz w:val="22"/>
                <w:szCs w:val="22"/>
                <w:lang w:eastAsia="en-US"/>
              </w:rPr>
              <w:t>фактических параметров генерирующего</w:t>
            </w:r>
            <w:r w:rsidRPr="009722D2">
              <w:rPr>
                <w:rFonts w:ascii="Garamond" w:hAnsi="Garamond"/>
                <w:sz w:val="22"/>
                <w:szCs w:val="22"/>
                <w:lang w:eastAsia="en-US"/>
              </w:rPr>
              <w:t xml:space="preserve"> оборудования</w:t>
            </w: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, не были подтверждены, </w:t>
            </w:r>
            <w:r w:rsidRPr="009722D2">
              <w:rPr>
                <w:rFonts w:ascii="Garamond" w:hAnsi="Garamond"/>
                <w:bCs/>
                <w:sz w:val="22"/>
                <w:szCs w:val="22"/>
              </w:rPr>
              <w:t xml:space="preserve">СО обязан внести изменения в </w:t>
            </w: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Реестр фактических параметров генерирующего оборудования и формируемый на его основе Реестр </w:t>
            </w:r>
            <w:r w:rsidRPr="009722D2">
              <w:rPr>
                <w:rFonts w:ascii="Garamond" w:eastAsia="Batang" w:hAnsi="Garamond"/>
                <w:sz w:val="22"/>
                <w:szCs w:val="22"/>
              </w:rPr>
              <w:t>предельных объемов поставки мощности генерирующего оборудования</w:t>
            </w: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 путем корректировки ранее зарегистрированных в указанных реестрах значений соответствующих параметров на значения, зарегистрированные СО по результатам тестирования</w:t>
            </w:r>
            <w:r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.</w:t>
            </w:r>
          </w:p>
        </w:tc>
      </w:tr>
      <w:tr w:rsidR="00FA0220" w:rsidRPr="00374D1F" w:rsidTr="0046439D">
        <w:trPr>
          <w:trHeight w:val="558"/>
        </w:trPr>
        <w:tc>
          <w:tcPr>
            <w:tcW w:w="959" w:type="dxa"/>
            <w:vAlign w:val="center"/>
          </w:tcPr>
          <w:p w:rsidR="00FA0220" w:rsidRPr="00374D1F" w:rsidRDefault="00FA0220" w:rsidP="00FA0220">
            <w:pPr>
              <w:ind w:left="-114" w:right="-108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5.3</w:t>
            </w:r>
          </w:p>
        </w:tc>
        <w:tc>
          <w:tcPr>
            <w:tcW w:w="7229" w:type="dxa"/>
          </w:tcPr>
          <w:p w:rsidR="00FA0220" w:rsidRDefault="007A6D29" w:rsidP="00FA0220">
            <w:pPr>
              <w:tabs>
                <w:tab w:val="left" w:pos="1080"/>
              </w:tabs>
              <w:spacing w:before="120" w:after="120"/>
              <w:ind w:firstLine="540"/>
              <w:jc w:val="both"/>
              <w:rPr>
                <w:rFonts w:ascii="Garamond" w:eastAsia="Batang" w:hAnsi="Garamond" w:cs="Garamond"/>
                <w:sz w:val="22"/>
                <w:szCs w:val="22"/>
                <w:lang w:eastAsia="ko-KR"/>
              </w:rPr>
            </w:pPr>
            <w:r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5.3. </w:t>
            </w:r>
            <w:r w:rsidR="00FA0220" w:rsidRPr="00BE10BA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Если проведение испытаний </w:t>
            </w:r>
            <w:r w:rsidR="00FA0220" w:rsidRPr="00BE10BA">
              <w:rPr>
                <w:rFonts w:ascii="Garamond" w:hAnsi="Garamond" w:cs="Garamond"/>
                <w:sz w:val="22"/>
                <w:szCs w:val="22"/>
              </w:rPr>
              <w:t xml:space="preserve">генерирующего оборудования, в отношении которого выявлены обстоятельства, указанные в </w:t>
            </w:r>
            <w:r w:rsidR="00FA0220" w:rsidRPr="00FA0220">
              <w:rPr>
                <w:rFonts w:ascii="Garamond" w:hAnsi="Garamond" w:cs="Garamond"/>
                <w:sz w:val="22"/>
                <w:szCs w:val="22"/>
                <w:highlight w:val="yellow"/>
              </w:rPr>
              <w:t>подпунктах «а» или «г»</w:t>
            </w:r>
            <w:r w:rsidR="00FA0220" w:rsidRPr="00BE10BA">
              <w:rPr>
                <w:rFonts w:ascii="Garamond" w:hAnsi="Garamond" w:cs="Garamond"/>
                <w:sz w:val="22"/>
                <w:szCs w:val="22"/>
              </w:rPr>
              <w:t xml:space="preserve"> подпункт</w:t>
            </w:r>
            <w:r w:rsidR="00FA0220" w:rsidRPr="00FA0220">
              <w:rPr>
                <w:rFonts w:ascii="Garamond" w:hAnsi="Garamond" w:cs="Garamond"/>
                <w:sz w:val="22"/>
                <w:szCs w:val="22"/>
                <w:highlight w:val="yellow"/>
              </w:rPr>
              <w:t>а</w:t>
            </w:r>
            <w:r w:rsidR="00FA0220" w:rsidRPr="00BE10BA">
              <w:rPr>
                <w:rFonts w:ascii="Garamond" w:hAnsi="Garamond" w:cs="Garamond"/>
                <w:sz w:val="22"/>
                <w:szCs w:val="22"/>
              </w:rPr>
              <w:t xml:space="preserve"> 1 п. 5.1 настоящего Регламента, </w:t>
            </w:r>
            <w:r w:rsidR="00FA0220" w:rsidRPr="00BE10BA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в установленный п. 5.2 настоящего Регламента срок невозможно в связи с отсутствием тепловых нагрузок до начала</w:t>
            </w:r>
            <w:r w:rsidR="00FA0220" w:rsidRPr="00386E6B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 отопительного сезона для генерирующего оборудования, используемого для производства тепловой и электрической энергии (для ГТП, в состав которых входят только </w:t>
            </w:r>
            <w:r w:rsidR="00FA0220" w:rsidRPr="00386E6B">
              <w:rPr>
                <w:rFonts w:ascii="Garamond" w:hAnsi="Garamond"/>
                <w:sz w:val="22"/>
                <w:szCs w:val="22"/>
              </w:rPr>
              <w:t xml:space="preserve">турбины типа </w:t>
            </w:r>
            <w:r w:rsidR="00FA0220" w:rsidRPr="00386E6B">
              <w:rPr>
                <w:rFonts w:ascii="Garamond" w:hAnsi="Garamond"/>
                <w:color w:val="000000"/>
                <w:sz w:val="22"/>
                <w:szCs w:val="22"/>
              </w:rPr>
              <w:t>«Р», «ПР», «ТР» и «ПТР»</w:t>
            </w:r>
            <w:r w:rsidR="00FA0220" w:rsidRPr="00386E6B">
              <w:rPr>
                <w:rFonts w:ascii="Garamond" w:hAnsi="Garamond"/>
                <w:sz w:val="22"/>
                <w:szCs w:val="22"/>
              </w:rPr>
              <w:t xml:space="preserve"> (за исключением турбин, имеющих приключенные турбины, и ГТУ в составе ГТУ-ТЭЦ)</w:t>
            </w:r>
            <w:r w:rsidR="00FA0220" w:rsidRPr="00386E6B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, или в связи с наличием системных ограничений, и не обусловлено неготовностью к работе генерирующего оборудования электростанции, поставщик мощности должен выполнить предусмотренные разделом 3 настоящего Регламента процедуры в следующие сроки:</w:t>
            </w:r>
          </w:p>
          <w:p w:rsidR="00FA0220" w:rsidRPr="00386E6B" w:rsidRDefault="00FA0220" w:rsidP="00FA0220">
            <w:pPr>
              <w:numPr>
                <w:ilvl w:val="0"/>
                <w:numId w:val="18"/>
              </w:numPr>
              <w:tabs>
                <w:tab w:val="left" w:pos="851"/>
              </w:tabs>
              <w:spacing w:before="120" w:after="120"/>
              <w:ind w:left="851" w:hanging="284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386E6B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в связи с отсутствием тепловых нагрузок до начала отопительного периода – в течение 30 дней с даты начала отопительного сезона, установленного уполномоченным органом (органом местного самоуправления). При этом по истечении 3 (трех) месяцев с момента направления СО указанного в п. 5.2 настоящего Регламента требования о проведении тестирования поставщик мощности обязан не ранее чем за 6 рабочих дней и не позднее чем за 5 рабочих дней до начала каждого следующего месяца поставки мощности предоставлять в СО уведомление о невозможности проведения тестирования соответствующего генерирующего оборудования в связи с отсутствием на дату, предшествующую дате направления такого уведомления, решения уполномоченного органа о начале отопительного сезона, либо в случае, если решением уполномоченного органа установлена дата начала отопительного сезона, обязан не позднее чем за 5 рабочих дней до начала очередного месяца поставки мощности предоставить в СО уведомление о намерении выполнить предусмотренные разделом 3 </w:t>
            </w:r>
            <w:r w:rsidRPr="00386E6B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lastRenderedPageBreak/>
              <w:t>настоящего Регламента процедуры тестирования генерирующего оборудования в установленный настоящим пунктом срок с указанием даты начала отопительного сезона и реквизитов соответствующего решения уполномоченного органа;</w:t>
            </w:r>
          </w:p>
          <w:p w:rsidR="00FA0220" w:rsidRPr="009722D2" w:rsidRDefault="00FA0220" w:rsidP="00FA0220">
            <w:pPr>
              <w:numPr>
                <w:ilvl w:val="0"/>
                <w:numId w:val="18"/>
              </w:numPr>
              <w:tabs>
                <w:tab w:val="left" w:pos="851"/>
              </w:tabs>
              <w:spacing w:before="120" w:after="120"/>
              <w:ind w:left="851" w:hanging="284"/>
              <w:jc w:val="both"/>
              <w:rPr>
                <w:rFonts w:ascii="Garamond" w:eastAsia="Batang" w:hAnsi="Garamond" w:cs="Garamond"/>
                <w:sz w:val="22"/>
                <w:szCs w:val="22"/>
                <w:lang w:eastAsia="ko-KR"/>
              </w:rPr>
            </w:pPr>
            <w:r w:rsidRPr="00386E6B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в связи с наличием системных ограничений – в течение 30 дней с даты получения от СО информации об окончании действия системных ограничений, препятствующих проведению испытаний.</w:t>
            </w:r>
          </w:p>
        </w:tc>
        <w:tc>
          <w:tcPr>
            <w:tcW w:w="7088" w:type="dxa"/>
          </w:tcPr>
          <w:p w:rsidR="00FA0220" w:rsidRDefault="007A6D29" w:rsidP="00FA0220">
            <w:pPr>
              <w:tabs>
                <w:tab w:val="left" w:pos="1080"/>
              </w:tabs>
              <w:spacing w:before="120" w:after="120"/>
              <w:ind w:firstLine="540"/>
              <w:jc w:val="both"/>
              <w:rPr>
                <w:rFonts w:ascii="Garamond" w:eastAsia="Batang" w:hAnsi="Garamond" w:cs="Garamond"/>
                <w:sz w:val="22"/>
                <w:szCs w:val="22"/>
                <w:lang w:eastAsia="ko-KR"/>
              </w:rPr>
            </w:pPr>
            <w:r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lastRenderedPageBreak/>
              <w:t xml:space="preserve">5.3. </w:t>
            </w:r>
            <w:r w:rsidR="00FA0220" w:rsidRPr="00BE10BA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Если проведение испытаний </w:t>
            </w:r>
            <w:r w:rsidR="00FA0220" w:rsidRPr="00BE10BA">
              <w:rPr>
                <w:rFonts w:ascii="Garamond" w:hAnsi="Garamond" w:cs="Garamond"/>
                <w:sz w:val="22"/>
                <w:szCs w:val="22"/>
              </w:rPr>
              <w:t>генерирующего оборудования, в отношении которого выявлены обстоятельства, указанные в</w:t>
            </w:r>
            <w:r w:rsidR="00FA0220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="00FA0220" w:rsidRPr="00BE10BA">
              <w:rPr>
                <w:rFonts w:ascii="Garamond" w:hAnsi="Garamond" w:cs="Garamond"/>
                <w:sz w:val="22"/>
                <w:szCs w:val="22"/>
              </w:rPr>
              <w:t>подпункт</w:t>
            </w:r>
            <w:r w:rsidR="00FA0220" w:rsidRPr="00D3412B">
              <w:rPr>
                <w:rFonts w:ascii="Garamond" w:hAnsi="Garamond" w:cs="Garamond"/>
                <w:sz w:val="22"/>
                <w:szCs w:val="22"/>
                <w:highlight w:val="yellow"/>
              </w:rPr>
              <w:t>е</w:t>
            </w:r>
            <w:r w:rsidR="00FA0220" w:rsidRPr="00BE10BA">
              <w:rPr>
                <w:rFonts w:ascii="Garamond" w:hAnsi="Garamond" w:cs="Garamond"/>
                <w:sz w:val="22"/>
                <w:szCs w:val="22"/>
              </w:rPr>
              <w:t xml:space="preserve"> 1 п. 5.1 настоящего Регламента, </w:t>
            </w:r>
            <w:r w:rsidR="00FA0220" w:rsidRPr="00BE10BA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в установленный п. 5.2 настоящего Регламента срок невозможно в связи с отсутствием тепловых нагрузок до начала</w:t>
            </w:r>
            <w:r w:rsidR="00FA0220" w:rsidRPr="00386E6B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 отопительного сезона для генерирующего оборудования, используемого для производства тепловой и электрической энергии (для ГТП, в состав которых входят только </w:t>
            </w:r>
            <w:r w:rsidR="00FA0220" w:rsidRPr="00386E6B">
              <w:rPr>
                <w:rFonts w:ascii="Garamond" w:hAnsi="Garamond"/>
                <w:sz w:val="22"/>
                <w:szCs w:val="22"/>
              </w:rPr>
              <w:t xml:space="preserve">турбины типа </w:t>
            </w:r>
            <w:r w:rsidR="00FA0220" w:rsidRPr="00386E6B">
              <w:rPr>
                <w:rFonts w:ascii="Garamond" w:hAnsi="Garamond"/>
                <w:color w:val="000000"/>
                <w:sz w:val="22"/>
                <w:szCs w:val="22"/>
              </w:rPr>
              <w:t>«Р», «ПР», «ТР» и «ПТР»</w:t>
            </w:r>
            <w:r w:rsidR="00FA0220" w:rsidRPr="00386E6B">
              <w:rPr>
                <w:rFonts w:ascii="Garamond" w:hAnsi="Garamond"/>
                <w:sz w:val="22"/>
                <w:szCs w:val="22"/>
              </w:rPr>
              <w:t xml:space="preserve"> (за исключением турбин, имеющих приключенные турбины, и ГТУ в составе ГТУ-ТЭЦ)</w:t>
            </w:r>
            <w:r w:rsidR="00FA0220" w:rsidRPr="00386E6B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, или в связи с наличием системных ограничений, и не обусловлено неготовностью к работе генерирующего оборудования электростанции, поставщик мощности должен выполнить предусмотренные разделом 3 настоящего Регламента процедуры в следующие сроки:</w:t>
            </w:r>
          </w:p>
          <w:p w:rsidR="00FA0220" w:rsidRPr="00386E6B" w:rsidRDefault="00FA0220" w:rsidP="00FA0220">
            <w:pPr>
              <w:numPr>
                <w:ilvl w:val="0"/>
                <w:numId w:val="18"/>
              </w:numPr>
              <w:tabs>
                <w:tab w:val="left" w:pos="851"/>
              </w:tabs>
              <w:spacing w:before="120" w:after="120"/>
              <w:ind w:left="851" w:hanging="284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386E6B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в связи с отсутствием тепловых нагрузок до начала отопительного периода – в течение 30 дней с даты начала отопительного сезона, установленного уполномоченным органом (органом местного самоуправления). При этом по истечении 3 (трех) месяцев с момента направления СО указанного в п. 5.2 настоящего Регламента требования о проведении тестирования поставщик мощности обязан не ранее чем за 6 рабочих дней и не позднее чем за 5 рабочих дней до начала каждого следующего месяца поставки мощности предоставлять в СО уведомление о невозможности проведения тестирования соответствующего генерирующего оборудования в связи с отсутствием на дату, предшествующую дате направления такого уведомления, решения уполномоченного органа о начале отопительного сезона, либо в случае, если решением уполномоченного органа установлена дата начала отопительного сезона, обязан не позднее чем за 5 рабочих дней до начала очередного месяца поставки мощности предоставить в СО </w:t>
            </w:r>
            <w:r w:rsidRPr="00386E6B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lastRenderedPageBreak/>
              <w:t xml:space="preserve">уведомление о намерении выполнить предусмотренные разделом 3 настоящего Регламента процедуры тестирования генерирующего оборудования в установленный настоящим пунктом срок с указанием даты начала отопительного сезона и реквизитов соответствующего </w:t>
            </w:r>
            <w:bookmarkStart w:id="0" w:name="_GoBack"/>
            <w:bookmarkEnd w:id="0"/>
            <w:r w:rsidRPr="00386E6B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решения уполномоченного органа;</w:t>
            </w:r>
          </w:p>
          <w:p w:rsidR="00FA0220" w:rsidRPr="009722D2" w:rsidRDefault="00FA0220" w:rsidP="00FA0220">
            <w:pPr>
              <w:numPr>
                <w:ilvl w:val="0"/>
                <w:numId w:val="18"/>
              </w:numPr>
              <w:tabs>
                <w:tab w:val="left" w:pos="851"/>
              </w:tabs>
              <w:spacing w:before="120" w:after="120"/>
              <w:ind w:left="851" w:hanging="284"/>
              <w:jc w:val="both"/>
              <w:rPr>
                <w:rFonts w:ascii="Garamond" w:eastAsia="Batang" w:hAnsi="Garamond" w:cs="Garamond"/>
                <w:sz w:val="22"/>
                <w:szCs w:val="22"/>
                <w:lang w:eastAsia="ko-KR"/>
              </w:rPr>
            </w:pPr>
            <w:r w:rsidRPr="00386E6B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в связи с наличием системных ограничений – в течение 30 дней с даты получения от СО информации об окончании действия системных ограничений, препятствующих проведению испытаний.</w:t>
            </w:r>
          </w:p>
        </w:tc>
      </w:tr>
      <w:tr w:rsidR="00FA0220" w:rsidRPr="00374D1F" w:rsidTr="0046439D">
        <w:trPr>
          <w:trHeight w:val="558"/>
        </w:trPr>
        <w:tc>
          <w:tcPr>
            <w:tcW w:w="959" w:type="dxa"/>
            <w:vAlign w:val="center"/>
          </w:tcPr>
          <w:p w:rsidR="00FA0220" w:rsidRDefault="00FA0220" w:rsidP="00FA0220">
            <w:pPr>
              <w:ind w:left="-114" w:right="-108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lastRenderedPageBreak/>
              <w:t>6.3.2</w:t>
            </w:r>
          </w:p>
        </w:tc>
        <w:tc>
          <w:tcPr>
            <w:tcW w:w="7229" w:type="dxa"/>
          </w:tcPr>
          <w:p w:rsidR="00FA0220" w:rsidRPr="00875BE8" w:rsidRDefault="007A6D29" w:rsidP="00FA0220">
            <w:pPr>
              <w:spacing w:before="120" w:after="120"/>
              <w:ind w:firstLine="54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…</w:t>
            </w:r>
            <w:r w:rsidR="00FA0220" w:rsidRPr="00875BE8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.</w:t>
            </w:r>
            <w:r w:rsidR="00FA0220" w:rsidRPr="00875BE8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</w:p>
          <w:p w:rsidR="00FA0220" w:rsidRPr="00455A4A" w:rsidRDefault="00FA0220" w:rsidP="00FA0220">
            <w:pPr>
              <w:pStyle w:val="af4"/>
              <w:numPr>
                <w:ilvl w:val="0"/>
                <w:numId w:val="19"/>
              </w:numPr>
              <w:spacing w:before="120" w:after="120"/>
              <w:ind w:firstLine="567"/>
              <w:contextualSpacing w:val="0"/>
              <w:jc w:val="both"/>
              <w:rPr>
                <w:rFonts w:ascii="Garamond" w:eastAsia="Batang" w:hAnsi="Garamond" w:cs="Garamond"/>
                <w:sz w:val="22"/>
                <w:szCs w:val="22"/>
                <w:lang w:eastAsia="ko-KR"/>
              </w:rPr>
            </w:pPr>
            <w:r w:rsidRPr="00FA0220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ko-KR"/>
              </w:rPr>
              <w:t>При выявлении обстоятельств, указанных в подпункте «в» п. 5.1 настоящего Регламента, значение предельного объема мощности генерирующего оборудования устанавливается равным нулю.</w:t>
            </w:r>
          </w:p>
        </w:tc>
        <w:tc>
          <w:tcPr>
            <w:tcW w:w="7088" w:type="dxa"/>
          </w:tcPr>
          <w:p w:rsidR="00FA0220" w:rsidRPr="00875BE8" w:rsidRDefault="007A6D29" w:rsidP="00FA0220">
            <w:pPr>
              <w:spacing w:before="120" w:after="120"/>
              <w:ind w:firstLine="54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…</w:t>
            </w:r>
          </w:p>
          <w:p w:rsidR="00FA0220" w:rsidRPr="00455A4A" w:rsidRDefault="00FA0220" w:rsidP="00FA0220">
            <w:pPr>
              <w:pStyle w:val="af4"/>
              <w:numPr>
                <w:ilvl w:val="0"/>
                <w:numId w:val="19"/>
              </w:numPr>
              <w:spacing w:before="120" w:after="120"/>
              <w:ind w:firstLine="567"/>
              <w:contextualSpacing w:val="0"/>
              <w:jc w:val="both"/>
              <w:rPr>
                <w:rFonts w:ascii="Garamond" w:eastAsia="Batang" w:hAnsi="Garamond" w:cs="Garamond"/>
                <w:sz w:val="22"/>
                <w:szCs w:val="22"/>
                <w:lang w:eastAsia="ko-KR"/>
              </w:rPr>
            </w:pPr>
          </w:p>
        </w:tc>
      </w:tr>
    </w:tbl>
    <w:p w:rsidR="006C1233" w:rsidRDefault="006C1233" w:rsidP="00C329E7">
      <w:pPr>
        <w:ind w:right="110"/>
        <w:jc w:val="both"/>
        <w:rPr>
          <w:rFonts w:ascii="Garamond" w:hAnsi="Garamond"/>
          <w:b/>
          <w:sz w:val="26"/>
          <w:szCs w:val="26"/>
        </w:rPr>
      </w:pPr>
    </w:p>
    <w:sectPr w:rsidR="006C1233" w:rsidSect="0086345C">
      <w:headerReference w:type="default" r:id="rId8"/>
      <w:footerReference w:type="default" r:id="rId9"/>
      <w:pgSz w:w="16838" w:h="11906" w:orient="landscape" w:code="9"/>
      <w:pgMar w:top="1135" w:right="567" w:bottom="680" w:left="1134" w:header="284" w:footer="113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251" w:rsidRDefault="00312251">
      <w:r>
        <w:separator/>
      </w:r>
    </w:p>
  </w:endnote>
  <w:endnote w:type="continuationSeparator" w:id="0">
    <w:p w:rsidR="00312251" w:rsidRDefault="00312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88" w:rsidRPr="007F2BDC" w:rsidRDefault="00100788" w:rsidP="007F2BDC">
    <w:pPr>
      <w:autoSpaceDE w:val="0"/>
      <w:autoSpaceDN w:val="0"/>
      <w:adjustRightInd w:val="0"/>
      <w:outlineLvl w:val="1"/>
      <w:rPr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251" w:rsidRDefault="00312251">
      <w:r>
        <w:separator/>
      </w:r>
    </w:p>
  </w:footnote>
  <w:footnote w:type="continuationSeparator" w:id="0">
    <w:p w:rsidR="00312251" w:rsidRDefault="00312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2956408"/>
      <w:docPartObj>
        <w:docPartGallery w:val="Page Numbers (Top of Page)"/>
        <w:docPartUnique/>
      </w:docPartObj>
    </w:sdtPr>
    <w:sdtEndPr/>
    <w:sdtContent>
      <w:p w:rsidR="00100788" w:rsidRDefault="00100788" w:rsidP="00E724E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412B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8422AC64"/>
    <w:lvl w:ilvl="0">
      <w:start w:val="4"/>
      <w:numFmt w:val="none"/>
      <w:pStyle w:val="2"/>
      <w:suff w:val="nothing"/>
      <w:lvlText w:val=""/>
      <w:lvlJc w:val="left"/>
      <w:rPr>
        <w:rFonts w:cs="Times New Roman" w:hint="default"/>
      </w:rPr>
    </w:lvl>
    <w:lvl w:ilvl="1">
      <w:start w:val="6"/>
      <w:numFmt w:val="decimal"/>
      <w:lvlText w:val="%2."/>
      <w:lvlJc w:val="left"/>
      <w:pPr>
        <w:tabs>
          <w:tab w:val="num" w:pos="180"/>
        </w:tabs>
        <w:ind w:left="180"/>
      </w:pPr>
      <w:rPr>
        <w:rFonts w:cs="Times New Roman" w:hint="default"/>
      </w:rPr>
    </w:lvl>
    <w:lvl w:ilvl="2">
      <w:start w:val="4"/>
      <w:numFmt w:val="decimal"/>
      <w:lvlText w:val="4.%3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3.2.%4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5">
      <w:start w:val="1"/>
      <w:numFmt w:val="lowerRoman"/>
      <w:lvlText w:val="%6)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1" w15:restartNumberingAfterBreak="0">
    <w:nsid w:val="04640FB4"/>
    <w:multiLevelType w:val="hybridMultilevel"/>
    <w:tmpl w:val="3A7293AE"/>
    <w:lvl w:ilvl="0" w:tplc="04190001">
      <w:start w:val="1"/>
      <w:numFmt w:val="bullet"/>
      <w:lvlText w:val="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2" w15:restartNumberingAfterBreak="0">
    <w:nsid w:val="099A0BA1"/>
    <w:multiLevelType w:val="hybridMultilevel"/>
    <w:tmpl w:val="2F682AC8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102E6CF8"/>
    <w:multiLevelType w:val="hybridMultilevel"/>
    <w:tmpl w:val="6D26E5EE"/>
    <w:lvl w:ilvl="0" w:tplc="04190001">
      <w:start w:val="1"/>
      <w:numFmt w:val="bullet"/>
      <w:lvlText w:val=""/>
      <w:lvlJc w:val="left"/>
      <w:pPr>
        <w:ind w:left="19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3" w:hanging="360"/>
      </w:pPr>
      <w:rPr>
        <w:rFonts w:ascii="Wingdings" w:hAnsi="Wingdings" w:hint="default"/>
      </w:rPr>
    </w:lvl>
  </w:abstractNum>
  <w:abstractNum w:abstractNumId="4" w15:restartNumberingAfterBreak="0">
    <w:nsid w:val="1A0A21BC"/>
    <w:multiLevelType w:val="hybridMultilevel"/>
    <w:tmpl w:val="E8B87F54"/>
    <w:lvl w:ilvl="0" w:tplc="04190001">
      <w:start w:val="1"/>
      <w:numFmt w:val="bullet"/>
      <w:lvlText w:val="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425"/>
        </w:tabs>
        <w:ind w:left="3425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5" w15:restartNumberingAfterBreak="0">
    <w:nsid w:val="21A873CF"/>
    <w:multiLevelType w:val="hybridMultilevel"/>
    <w:tmpl w:val="208AA3CA"/>
    <w:lvl w:ilvl="0" w:tplc="F20EA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F038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6A8E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7E85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2C94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3EDB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1A88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2640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D404E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110374"/>
    <w:multiLevelType w:val="hybridMultilevel"/>
    <w:tmpl w:val="6436F51E"/>
    <w:lvl w:ilvl="0" w:tplc="04190001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1D0249E"/>
    <w:multiLevelType w:val="hybridMultilevel"/>
    <w:tmpl w:val="6436F51E"/>
    <w:lvl w:ilvl="0" w:tplc="04190001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F1A76AC"/>
    <w:multiLevelType w:val="hybridMultilevel"/>
    <w:tmpl w:val="0F08E2C8"/>
    <w:lvl w:ilvl="0" w:tplc="04190005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265" w:hanging="360"/>
      </w:pPr>
      <w:rPr>
        <w:rFonts w:ascii="Wingdings" w:hAnsi="Wingdings" w:hint="default"/>
      </w:rPr>
    </w:lvl>
  </w:abstractNum>
  <w:abstractNum w:abstractNumId="9" w15:restartNumberingAfterBreak="0">
    <w:nsid w:val="444962CD"/>
    <w:multiLevelType w:val="hybridMultilevel"/>
    <w:tmpl w:val="E5A69968"/>
    <w:lvl w:ilvl="0" w:tplc="019871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numFmt w:val="none"/>
      <w:lvlText w:val=""/>
      <w:lvlJc w:val="left"/>
      <w:pPr>
        <w:tabs>
          <w:tab w:val="num" w:pos="360"/>
        </w:tabs>
      </w:pPr>
    </w:lvl>
    <w:lvl w:ilvl="2" w:tplc="0419001B">
      <w:numFmt w:val="none"/>
      <w:lvlText w:val=""/>
      <w:lvlJc w:val="left"/>
      <w:pPr>
        <w:tabs>
          <w:tab w:val="num" w:pos="360"/>
        </w:tabs>
      </w:pPr>
    </w:lvl>
    <w:lvl w:ilvl="3" w:tplc="0419000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190019">
      <w:numFmt w:val="none"/>
      <w:lvlText w:val=""/>
      <w:lvlJc w:val="left"/>
      <w:pPr>
        <w:tabs>
          <w:tab w:val="num" w:pos="360"/>
        </w:tabs>
      </w:pPr>
    </w:lvl>
    <w:lvl w:ilvl="5" w:tplc="0419001B">
      <w:numFmt w:val="none"/>
      <w:lvlText w:val=""/>
      <w:lvlJc w:val="left"/>
      <w:pPr>
        <w:tabs>
          <w:tab w:val="num" w:pos="360"/>
        </w:tabs>
      </w:pPr>
    </w:lvl>
    <w:lvl w:ilvl="6" w:tplc="0419000F">
      <w:numFmt w:val="none"/>
      <w:lvlText w:val=""/>
      <w:lvlJc w:val="left"/>
      <w:pPr>
        <w:tabs>
          <w:tab w:val="num" w:pos="360"/>
        </w:tabs>
      </w:pPr>
    </w:lvl>
    <w:lvl w:ilvl="7" w:tplc="04190019">
      <w:numFmt w:val="none"/>
      <w:lvlText w:val=""/>
      <w:lvlJc w:val="left"/>
      <w:pPr>
        <w:tabs>
          <w:tab w:val="num" w:pos="360"/>
        </w:tabs>
      </w:pPr>
    </w:lvl>
    <w:lvl w:ilvl="8" w:tplc="0419001B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495B5CFE"/>
    <w:multiLevelType w:val="hybridMultilevel"/>
    <w:tmpl w:val="9738B400"/>
    <w:lvl w:ilvl="0" w:tplc="F70E758C">
      <w:start w:val="1"/>
      <w:numFmt w:val="bullet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C482358"/>
    <w:multiLevelType w:val="hybridMultilevel"/>
    <w:tmpl w:val="AA981562"/>
    <w:lvl w:ilvl="0" w:tplc="FFFFFFFF">
      <w:start w:val="2"/>
      <w:numFmt w:val="bullet"/>
      <w:lvlText w:val="-"/>
      <w:lvlJc w:val="left"/>
      <w:pPr>
        <w:ind w:left="2455" w:hanging="360"/>
      </w:pPr>
      <w:rPr>
        <w:rFonts w:ascii="Times New Roman" w:eastAsia="Times New Roman" w:hAnsi="Times New Roman" w:hint="default"/>
      </w:rPr>
    </w:lvl>
    <w:lvl w:ilvl="1" w:tplc="3FC039F8">
      <w:start w:val="1"/>
      <w:numFmt w:val="bullet"/>
      <w:lvlText w:val="−"/>
      <w:lvlJc w:val="left"/>
      <w:pPr>
        <w:ind w:left="3175" w:hanging="360"/>
      </w:pPr>
      <w:rPr>
        <w:rFonts w:ascii="Garamond" w:hAnsi="Garamond" w:hint="default"/>
      </w:rPr>
    </w:lvl>
    <w:lvl w:ilvl="2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15" w:hanging="360"/>
      </w:pPr>
      <w:rPr>
        <w:rFonts w:ascii="Wingdings" w:hAnsi="Wingdings" w:hint="default"/>
      </w:rPr>
    </w:lvl>
  </w:abstractNum>
  <w:abstractNum w:abstractNumId="12" w15:restartNumberingAfterBreak="0">
    <w:nsid w:val="524160CD"/>
    <w:multiLevelType w:val="hybridMultilevel"/>
    <w:tmpl w:val="02A83BC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2E4309A"/>
    <w:multiLevelType w:val="hybridMultilevel"/>
    <w:tmpl w:val="C994E080"/>
    <w:lvl w:ilvl="0" w:tplc="04090003">
      <w:start w:val="1"/>
      <w:numFmt w:val="bullet"/>
      <w:lvlText w:val="o"/>
      <w:lvlJc w:val="left"/>
      <w:pPr>
        <w:ind w:left="2171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</w:abstractNum>
  <w:abstractNum w:abstractNumId="14" w15:restartNumberingAfterBreak="0">
    <w:nsid w:val="60E27BA7"/>
    <w:multiLevelType w:val="multilevel"/>
    <w:tmpl w:val="DCBCCDDC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1">
      <w:start w:val="6"/>
      <w:numFmt w:val="decimal"/>
      <w:lvlText w:val="%2."/>
      <w:lvlJc w:val="left"/>
      <w:pPr>
        <w:tabs>
          <w:tab w:val="num" w:pos="537"/>
        </w:tabs>
        <w:ind w:left="537" w:hanging="357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567"/>
      </w:pPr>
      <w:rPr>
        <w:rFonts w:cs="Times New Roman" w:hint="default"/>
      </w:rPr>
    </w:lvl>
    <w:lvl w:ilvl="4">
      <w:start w:val="1"/>
      <w:numFmt w:val="decimal"/>
      <w:lvlText w:val="%5.1.1.1."/>
      <w:lvlJc w:val="left"/>
      <w:pPr>
        <w:tabs>
          <w:tab w:val="num" w:pos="1134"/>
        </w:tabs>
        <w:ind w:left="1134" w:hanging="566"/>
      </w:pPr>
      <w:rPr>
        <w:rFonts w:ascii="Garamond" w:hAnsi="Garamond" w:cs="Times New Roman" w:hint="default"/>
      </w:rPr>
    </w:lvl>
    <w:lvl w:ilvl="5">
      <w:start w:val="1"/>
      <w:numFmt w:val="lowerRoman"/>
      <w:lvlText w:val="%6)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15" w15:restartNumberingAfterBreak="0">
    <w:nsid w:val="68E734D9"/>
    <w:multiLevelType w:val="hybridMultilevel"/>
    <w:tmpl w:val="870E8D7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EF87A76"/>
    <w:multiLevelType w:val="hybridMultilevel"/>
    <w:tmpl w:val="B9A2F454"/>
    <w:lvl w:ilvl="0" w:tplc="04190001">
      <w:start w:val="1"/>
      <w:numFmt w:val="bullet"/>
      <w:lvlText w:val=""/>
      <w:lvlJc w:val="left"/>
      <w:pPr>
        <w:ind w:left="11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3" w:hanging="360"/>
      </w:pPr>
      <w:rPr>
        <w:rFonts w:ascii="Wingdings" w:hAnsi="Wingdings" w:hint="default"/>
      </w:rPr>
    </w:lvl>
  </w:abstractNum>
  <w:abstractNum w:abstractNumId="17" w15:restartNumberingAfterBreak="0">
    <w:nsid w:val="74820105"/>
    <w:multiLevelType w:val="hybridMultilevel"/>
    <w:tmpl w:val="A288CD3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860451C"/>
    <w:multiLevelType w:val="hybridMultilevel"/>
    <w:tmpl w:val="F4201352"/>
    <w:lvl w:ilvl="0" w:tplc="04190005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8"/>
  </w:num>
  <w:num w:numId="5">
    <w:abstractNumId w:val="13"/>
  </w:num>
  <w:num w:numId="6">
    <w:abstractNumId w:val="16"/>
  </w:num>
  <w:num w:numId="7">
    <w:abstractNumId w:val="12"/>
  </w:num>
  <w:num w:numId="8">
    <w:abstractNumId w:val="11"/>
  </w:num>
  <w:num w:numId="9">
    <w:abstractNumId w:val="5"/>
  </w:num>
  <w:num w:numId="10">
    <w:abstractNumId w:val="6"/>
  </w:num>
  <w:num w:numId="11">
    <w:abstractNumId w:val="2"/>
  </w:num>
  <w:num w:numId="12">
    <w:abstractNumId w:val="7"/>
  </w:num>
  <w:num w:numId="13">
    <w:abstractNumId w:val="3"/>
  </w:num>
  <w:num w:numId="14">
    <w:abstractNumId w:val="17"/>
  </w:num>
  <w:num w:numId="15">
    <w:abstractNumId w:val="9"/>
  </w:num>
  <w:num w:numId="16">
    <w:abstractNumId w:val="18"/>
  </w:num>
  <w:num w:numId="17">
    <w:abstractNumId w:val="15"/>
  </w:num>
  <w:num w:numId="18">
    <w:abstractNumId w:val="10"/>
  </w:num>
  <w:num w:numId="19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451"/>
    <w:rsid w:val="000020FE"/>
    <w:rsid w:val="00003FC7"/>
    <w:rsid w:val="00020B9B"/>
    <w:rsid w:val="0002193E"/>
    <w:rsid w:val="0002355E"/>
    <w:rsid w:val="000236B5"/>
    <w:rsid w:val="000258C6"/>
    <w:rsid w:val="000341F6"/>
    <w:rsid w:val="000352E9"/>
    <w:rsid w:val="00035B2E"/>
    <w:rsid w:val="00040561"/>
    <w:rsid w:val="00040D08"/>
    <w:rsid w:val="00043D06"/>
    <w:rsid w:val="00045983"/>
    <w:rsid w:val="0004743E"/>
    <w:rsid w:val="000475A7"/>
    <w:rsid w:val="00052647"/>
    <w:rsid w:val="00052EC6"/>
    <w:rsid w:val="00061B8F"/>
    <w:rsid w:val="00070DAF"/>
    <w:rsid w:val="00071326"/>
    <w:rsid w:val="000731BC"/>
    <w:rsid w:val="00076E5F"/>
    <w:rsid w:val="00077082"/>
    <w:rsid w:val="0008259F"/>
    <w:rsid w:val="00086F06"/>
    <w:rsid w:val="00087985"/>
    <w:rsid w:val="00091B59"/>
    <w:rsid w:val="00093E48"/>
    <w:rsid w:val="00096788"/>
    <w:rsid w:val="000B348C"/>
    <w:rsid w:val="000B35B6"/>
    <w:rsid w:val="000B5A12"/>
    <w:rsid w:val="000B6E04"/>
    <w:rsid w:val="000C2B75"/>
    <w:rsid w:val="000C2FD7"/>
    <w:rsid w:val="000C7D60"/>
    <w:rsid w:val="000D2FC1"/>
    <w:rsid w:val="000D3A4F"/>
    <w:rsid w:val="000D5259"/>
    <w:rsid w:val="000D6E8C"/>
    <w:rsid w:val="000D7B72"/>
    <w:rsid w:val="000E025F"/>
    <w:rsid w:val="000E05EF"/>
    <w:rsid w:val="000E2539"/>
    <w:rsid w:val="000E4245"/>
    <w:rsid w:val="000E57A0"/>
    <w:rsid w:val="000E57CD"/>
    <w:rsid w:val="000F436A"/>
    <w:rsid w:val="00100788"/>
    <w:rsid w:val="00102655"/>
    <w:rsid w:val="0010626E"/>
    <w:rsid w:val="001067AE"/>
    <w:rsid w:val="00107966"/>
    <w:rsid w:val="001148FC"/>
    <w:rsid w:val="001151AA"/>
    <w:rsid w:val="00120BE5"/>
    <w:rsid w:val="001215EC"/>
    <w:rsid w:val="00121F5B"/>
    <w:rsid w:val="001365CE"/>
    <w:rsid w:val="00152D0C"/>
    <w:rsid w:val="001542CD"/>
    <w:rsid w:val="00154F16"/>
    <w:rsid w:val="001570BE"/>
    <w:rsid w:val="00157E88"/>
    <w:rsid w:val="00163173"/>
    <w:rsid w:val="00163FF2"/>
    <w:rsid w:val="00175100"/>
    <w:rsid w:val="00175505"/>
    <w:rsid w:val="0018714E"/>
    <w:rsid w:val="001908BC"/>
    <w:rsid w:val="0019308F"/>
    <w:rsid w:val="00193649"/>
    <w:rsid w:val="00194931"/>
    <w:rsid w:val="001A3429"/>
    <w:rsid w:val="001A70EE"/>
    <w:rsid w:val="001B0485"/>
    <w:rsid w:val="001B143C"/>
    <w:rsid w:val="001B4542"/>
    <w:rsid w:val="001C02C3"/>
    <w:rsid w:val="001C19EA"/>
    <w:rsid w:val="001C3D53"/>
    <w:rsid w:val="001C78F1"/>
    <w:rsid w:val="001E0EEB"/>
    <w:rsid w:val="00201C1F"/>
    <w:rsid w:val="00206FB4"/>
    <w:rsid w:val="00211E70"/>
    <w:rsid w:val="00216A07"/>
    <w:rsid w:val="002205A5"/>
    <w:rsid w:val="00222A9F"/>
    <w:rsid w:val="00222F36"/>
    <w:rsid w:val="00224570"/>
    <w:rsid w:val="002404BD"/>
    <w:rsid w:val="00241E8E"/>
    <w:rsid w:val="00244846"/>
    <w:rsid w:val="00260B73"/>
    <w:rsid w:val="00261375"/>
    <w:rsid w:val="00261629"/>
    <w:rsid w:val="002700C8"/>
    <w:rsid w:val="00270334"/>
    <w:rsid w:val="00271725"/>
    <w:rsid w:val="002738AA"/>
    <w:rsid w:val="00275899"/>
    <w:rsid w:val="00280FBF"/>
    <w:rsid w:val="00295F1B"/>
    <w:rsid w:val="00296C31"/>
    <w:rsid w:val="002A3D9F"/>
    <w:rsid w:val="002A5DF0"/>
    <w:rsid w:val="002B37B3"/>
    <w:rsid w:val="002B4EF4"/>
    <w:rsid w:val="002B7CEE"/>
    <w:rsid w:val="002C2FA8"/>
    <w:rsid w:val="002C36BA"/>
    <w:rsid w:val="002C5A3E"/>
    <w:rsid w:val="002D450A"/>
    <w:rsid w:val="002D6807"/>
    <w:rsid w:val="002E2935"/>
    <w:rsid w:val="002E599E"/>
    <w:rsid w:val="002F076F"/>
    <w:rsid w:val="002F4FD3"/>
    <w:rsid w:val="002F663A"/>
    <w:rsid w:val="002F7A0D"/>
    <w:rsid w:val="003008A5"/>
    <w:rsid w:val="00302F00"/>
    <w:rsid w:val="003060B5"/>
    <w:rsid w:val="00312251"/>
    <w:rsid w:val="00313DF1"/>
    <w:rsid w:val="003141FB"/>
    <w:rsid w:val="00316DB7"/>
    <w:rsid w:val="00317F7B"/>
    <w:rsid w:val="003228C2"/>
    <w:rsid w:val="00324DD8"/>
    <w:rsid w:val="00326F12"/>
    <w:rsid w:val="0033398C"/>
    <w:rsid w:val="00340D25"/>
    <w:rsid w:val="00345028"/>
    <w:rsid w:val="00346DA5"/>
    <w:rsid w:val="00352CC9"/>
    <w:rsid w:val="003544F5"/>
    <w:rsid w:val="0035787B"/>
    <w:rsid w:val="00360E34"/>
    <w:rsid w:val="0036234F"/>
    <w:rsid w:val="00362A25"/>
    <w:rsid w:val="00362E76"/>
    <w:rsid w:val="0037269D"/>
    <w:rsid w:val="00372A25"/>
    <w:rsid w:val="00374D1F"/>
    <w:rsid w:val="0037572A"/>
    <w:rsid w:val="00377158"/>
    <w:rsid w:val="00381DF0"/>
    <w:rsid w:val="0038202D"/>
    <w:rsid w:val="00384451"/>
    <w:rsid w:val="0038602F"/>
    <w:rsid w:val="00397A88"/>
    <w:rsid w:val="003A458A"/>
    <w:rsid w:val="003A7F99"/>
    <w:rsid w:val="003B7513"/>
    <w:rsid w:val="003C55B2"/>
    <w:rsid w:val="003D1006"/>
    <w:rsid w:val="003D3DEA"/>
    <w:rsid w:val="003D6650"/>
    <w:rsid w:val="003D6A8C"/>
    <w:rsid w:val="003D73B6"/>
    <w:rsid w:val="003E1554"/>
    <w:rsid w:val="003E3208"/>
    <w:rsid w:val="003E7586"/>
    <w:rsid w:val="003F72EA"/>
    <w:rsid w:val="00402823"/>
    <w:rsid w:val="0040416A"/>
    <w:rsid w:val="004061FF"/>
    <w:rsid w:val="00412679"/>
    <w:rsid w:val="0042559B"/>
    <w:rsid w:val="00430DFD"/>
    <w:rsid w:val="0043516E"/>
    <w:rsid w:val="0043654B"/>
    <w:rsid w:val="00437A4B"/>
    <w:rsid w:val="0044380D"/>
    <w:rsid w:val="0044488D"/>
    <w:rsid w:val="00447F3B"/>
    <w:rsid w:val="0046364A"/>
    <w:rsid w:val="0046439D"/>
    <w:rsid w:val="00465ED0"/>
    <w:rsid w:val="00477730"/>
    <w:rsid w:val="004856E5"/>
    <w:rsid w:val="00494376"/>
    <w:rsid w:val="0049505D"/>
    <w:rsid w:val="004A05BF"/>
    <w:rsid w:val="004A0F80"/>
    <w:rsid w:val="004A5D0D"/>
    <w:rsid w:val="004B4DA2"/>
    <w:rsid w:val="004C04BD"/>
    <w:rsid w:val="004C6EB0"/>
    <w:rsid w:val="004D1764"/>
    <w:rsid w:val="004D3DAE"/>
    <w:rsid w:val="004D3EDE"/>
    <w:rsid w:val="004E0EDC"/>
    <w:rsid w:val="004E260D"/>
    <w:rsid w:val="004E40FE"/>
    <w:rsid w:val="004E43CE"/>
    <w:rsid w:val="004E6276"/>
    <w:rsid w:val="004F6D97"/>
    <w:rsid w:val="00502297"/>
    <w:rsid w:val="00503075"/>
    <w:rsid w:val="005047A4"/>
    <w:rsid w:val="00506B18"/>
    <w:rsid w:val="00520F8D"/>
    <w:rsid w:val="005240A2"/>
    <w:rsid w:val="00525A7D"/>
    <w:rsid w:val="00525BAF"/>
    <w:rsid w:val="00527577"/>
    <w:rsid w:val="005321CE"/>
    <w:rsid w:val="005364C0"/>
    <w:rsid w:val="00537111"/>
    <w:rsid w:val="00542E5C"/>
    <w:rsid w:val="005447D0"/>
    <w:rsid w:val="00554F3B"/>
    <w:rsid w:val="00555FA7"/>
    <w:rsid w:val="00556A71"/>
    <w:rsid w:val="0056074C"/>
    <w:rsid w:val="00562B7B"/>
    <w:rsid w:val="00570439"/>
    <w:rsid w:val="005711C4"/>
    <w:rsid w:val="00573FBC"/>
    <w:rsid w:val="005767E1"/>
    <w:rsid w:val="005859C7"/>
    <w:rsid w:val="00587DC2"/>
    <w:rsid w:val="00592438"/>
    <w:rsid w:val="00595CB1"/>
    <w:rsid w:val="00597C8C"/>
    <w:rsid w:val="005A1BA3"/>
    <w:rsid w:val="005A2CDF"/>
    <w:rsid w:val="005B355E"/>
    <w:rsid w:val="005B3BCB"/>
    <w:rsid w:val="005B6A58"/>
    <w:rsid w:val="005C44AE"/>
    <w:rsid w:val="005C7904"/>
    <w:rsid w:val="005D1B97"/>
    <w:rsid w:val="005D2751"/>
    <w:rsid w:val="005D6B3B"/>
    <w:rsid w:val="005E0CFD"/>
    <w:rsid w:val="005F1EAF"/>
    <w:rsid w:val="005F28B3"/>
    <w:rsid w:val="00600524"/>
    <w:rsid w:val="00601567"/>
    <w:rsid w:val="00603C86"/>
    <w:rsid w:val="006100D1"/>
    <w:rsid w:val="00612104"/>
    <w:rsid w:val="00614849"/>
    <w:rsid w:val="006178B8"/>
    <w:rsid w:val="006225E0"/>
    <w:rsid w:val="006236B5"/>
    <w:rsid w:val="00625103"/>
    <w:rsid w:val="00625D44"/>
    <w:rsid w:val="00626AD8"/>
    <w:rsid w:val="00640EEB"/>
    <w:rsid w:val="006468E4"/>
    <w:rsid w:val="00646AB7"/>
    <w:rsid w:val="00667B78"/>
    <w:rsid w:val="006809B4"/>
    <w:rsid w:val="00681A4F"/>
    <w:rsid w:val="00694678"/>
    <w:rsid w:val="006959BF"/>
    <w:rsid w:val="006A215E"/>
    <w:rsid w:val="006A4008"/>
    <w:rsid w:val="006A58B3"/>
    <w:rsid w:val="006A59A7"/>
    <w:rsid w:val="006A5CF1"/>
    <w:rsid w:val="006A79EB"/>
    <w:rsid w:val="006B1874"/>
    <w:rsid w:val="006B271A"/>
    <w:rsid w:val="006B727D"/>
    <w:rsid w:val="006B7AA6"/>
    <w:rsid w:val="006C09EE"/>
    <w:rsid w:val="006C1233"/>
    <w:rsid w:val="006C2BF2"/>
    <w:rsid w:val="006C360C"/>
    <w:rsid w:val="006C4057"/>
    <w:rsid w:val="006C5099"/>
    <w:rsid w:val="006C5FB5"/>
    <w:rsid w:val="006D6923"/>
    <w:rsid w:val="006E180E"/>
    <w:rsid w:val="006E7A16"/>
    <w:rsid w:val="006F6A64"/>
    <w:rsid w:val="00711D02"/>
    <w:rsid w:val="007166D9"/>
    <w:rsid w:val="007170AE"/>
    <w:rsid w:val="00717CA0"/>
    <w:rsid w:val="007219BD"/>
    <w:rsid w:val="007248A0"/>
    <w:rsid w:val="00733630"/>
    <w:rsid w:val="00737F69"/>
    <w:rsid w:val="007418A5"/>
    <w:rsid w:val="00745085"/>
    <w:rsid w:val="00745C47"/>
    <w:rsid w:val="007465E6"/>
    <w:rsid w:val="00750009"/>
    <w:rsid w:val="0075088B"/>
    <w:rsid w:val="00757990"/>
    <w:rsid w:val="007600D4"/>
    <w:rsid w:val="0076432C"/>
    <w:rsid w:val="0077430D"/>
    <w:rsid w:val="00780766"/>
    <w:rsid w:val="007910BA"/>
    <w:rsid w:val="007935B3"/>
    <w:rsid w:val="0079427A"/>
    <w:rsid w:val="007A2CA5"/>
    <w:rsid w:val="007A30FA"/>
    <w:rsid w:val="007A6D29"/>
    <w:rsid w:val="007B2323"/>
    <w:rsid w:val="007C0026"/>
    <w:rsid w:val="007C5367"/>
    <w:rsid w:val="007E19B2"/>
    <w:rsid w:val="007E235D"/>
    <w:rsid w:val="007E236B"/>
    <w:rsid w:val="007E685D"/>
    <w:rsid w:val="007F2BDC"/>
    <w:rsid w:val="00802295"/>
    <w:rsid w:val="00810F6C"/>
    <w:rsid w:val="0081165E"/>
    <w:rsid w:val="00812ADB"/>
    <w:rsid w:val="008150BA"/>
    <w:rsid w:val="008167FD"/>
    <w:rsid w:val="008169A2"/>
    <w:rsid w:val="0081747A"/>
    <w:rsid w:val="008206F0"/>
    <w:rsid w:val="008257CF"/>
    <w:rsid w:val="008307B5"/>
    <w:rsid w:val="008320AF"/>
    <w:rsid w:val="00833735"/>
    <w:rsid w:val="00840D00"/>
    <w:rsid w:val="00855569"/>
    <w:rsid w:val="008612A2"/>
    <w:rsid w:val="0086345C"/>
    <w:rsid w:val="00865158"/>
    <w:rsid w:val="0086571A"/>
    <w:rsid w:val="00867FA0"/>
    <w:rsid w:val="008740FC"/>
    <w:rsid w:val="00875E77"/>
    <w:rsid w:val="00880569"/>
    <w:rsid w:val="008929AE"/>
    <w:rsid w:val="00894E96"/>
    <w:rsid w:val="00896304"/>
    <w:rsid w:val="00896866"/>
    <w:rsid w:val="008A4052"/>
    <w:rsid w:val="008A775D"/>
    <w:rsid w:val="008B0201"/>
    <w:rsid w:val="008B1B0E"/>
    <w:rsid w:val="008B30DB"/>
    <w:rsid w:val="008B79AB"/>
    <w:rsid w:val="008C17F9"/>
    <w:rsid w:val="008C4413"/>
    <w:rsid w:val="008C5FB3"/>
    <w:rsid w:val="008D1781"/>
    <w:rsid w:val="008D431E"/>
    <w:rsid w:val="008E1BDC"/>
    <w:rsid w:val="008E421B"/>
    <w:rsid w:val="008E78F2"/>
    <w:rsid w:val="008F1EFE"/>
    <w:rsid w:val="008F5341"/>
    <w:rsid w:val="00900BFC"/>
    <w:rsid w:val="00903AAF"/>
    <w:rsid w:val="00905EB5"/>
    <w:rsid w:val="00911037"/>
    <w:rsid w:val="009111D3"/>
    <w:rsid w:val="0092054A"/>
    <w:rsid w:val="009205AE"/>
    <w:rsid w:val="00927D5E"/>
    <w:rsid w:val="009332E8"/>
    <w:rsid w:val="00952310"/>
    <w:rsid w:val="009642E9"/>
    <w:rsid w:val="009656FD"/>
    <w:rsid w:val="009715B7"/>
    <w:rsid w:val="00973D4D"/>
    <w:rsid w:val="00975AD3"/>
    <w:rsid w:val="00976F9B"/>
    <w:rsid w:val="00977B8D"/>
    <w:rsid w:val="009961E2"/>
    <w:rsid w:val="009A3C12"/>
    <w:rsid w:val="009A51EF"/>
    <w:rsid w:val="009B0C63"/>
    <w:rsid w:val="009B0E23"/>
    <w:rsid w:val="009B6C39"/>
    <w:rsid w:val="009C7316"/>
    <w:rsid w:val="009D13DA"/>
    <w:rsid w:val="009D203E"/>
    <w:rsid w:val="009D34A7"/>
    <w:rsid w:val="009D7C87"/>
    <w:rsid w:val="009E2A24"/>
    <w:rsid w:val="009F0090"/>
    <w:rsid w:val="009F08C0"/>
    <w:rsid w:val="009F5E3D"/>
    <w:rsid w:val="009F6675"/>
    <w:rsid w:val="00A00256"/>
    <w:rsid w:val="00A00BB6"/>
    <w:rsid w:val="00A118CB"/>
    <w:rsid w:val="00A149EF"/>
    <w:rsid w:val="00A16599"/>
    <w:rsid w:val="00A167E8"/>
    <w:rsid w:val="00A17E39"/>
    <w:rsid w:val="00A234BB"/>
    <w:rsid w:val="00A360A1"/>
    <w:rsid w:val="00A41121"/>
    <w:rsid w:val="00A41BE8"/>
    <w:rsid w:val="00A425D2"/>
    <w:rsid w:val="00A51501"/>
    <w:rsid w:val="00A55967"/>
    <w:rsid w:val="00A6011B"/>
    <w:rsid w:val="00A71752"/>
    <w:rsid w:val="00A74D0B"/>
    <w:rsid w:val="00A75318"/>
    <w:rsid w:val="00A839C4"/>
    <w:rsid w:val="00A852F2"/>
    <w:rsid w:val="00A86551"/>
    <w:rsid w:val="00A90EBF"/>
    <w:rsid w:val="00A97A4D"/>
    <w:rsid w:val="00AA38FF"/>
    <w:rsid w:val="00AB126C"/>
    <w:rsid w:val="00AB3966"/>
    <w:rsid w:val="00AC1693"/>
    <w:rsid w:val="00AC4116"/>
    <w:rsid w:val="00AC5D6B"/>
    <w:rsid w:val="00AC74DC"/>
    <w:rsid w:val="00AC7BDA"/>
    <w:rsid w:val="00AD00AE"/>
    <w:rsid w:val="00AD26C1"/>
    <w:rsid w:val="00AD5DA5"/>
    <w:rsid w:val="00AE555E"/>
    <w:rsid w:val="00AF2111"/>
    <w:rsid w:val="00AF4896"/>
    <w:rsid w:val="00AF50B0"/>
    <w:rsid w:val="00AF6EB7"/>
    <w:rsid w:val="00B073A2"/>
    <w:rsid w:val="00B10664"/>
    <w:rsid w:val="00B11378"/>
    <w:rsid w:val="00B2151E"/>
    <w:rsid w:val="00B2333F"/>
    <w:rsid w:val="00B242F8"/>
    <w:rsid w:val="00B2548F"/>
    <w:rsid w:val="00B273E7"/>
    <w:rsid w:val="00B30C0D"/>
    <w:rsid w:val="00B3348E"/>
    <w:rsid w:val="00B33D7F"/>
    <w:rsid w:val="00B40DFB"/>
    <w:rsid w:val="00B428F9"/>
    <w:rsid w:val="00B4315A"/>
    <w:rsid w:val="00B45AD2"/>
    <w:rsid w:val="00B47E04"/>
    <w:rsid w:val="00B53C79"/>
    <w:rsid w:val="00B565FF"/>
    <w:rsid w:val="00B6259D"/>
    <w:rsid w:val="00B62EA3"/>
    <w:rsid w:val="00B75368"/>
    <w:rsid w:val="00B83119"/>
    <w:rsid w:val="00B932B6"/>
    <w:rsid w:val="00B95099"/>
    <w:rsid w:val="00BB088B"/>
    <w:rsid w:val="00BC34C5"/>
    <w:rsid w:val="00BC41DB"/>
    <w:rsid w:val="00BC4320"/>
    <w:rsid w:val="00BC472D"/>
    <w:rsid w:val="00BC6A77"/>
    <w:rsid w:val="00BD2305"/>
    <w:rsid w:val="00BD3260"/>
    <w:rsid w:val="00BE247D"/>
    <w:rsid w:val="00BE27B4"/>
    <w:rsid w:val="00BE6A0B"/>
    <w:rsid w:val="00BE7219"/>
    <w:rsid w:val="00BF5154"/>
    <w:rsid w:val="00BF5B48"/>
    <w:rsid w:val="00BF6095"/>
    <w:rsid w:val="00C05857"/>
    <w:rsid w:val="00C05B04"/>
    <w:rsid w:val="00C0685C"/>
    <w:rsid w:val="00C07CE2"/>
    <w:rsid w:val="00C14723"/>
    <w:rsid w:val="00C15CBA"/>
    <w:rsid w:val="00C245C9"/>
    <w:rsid w:val="00C2470A"/>
    <w:rsid w:val="00C25469"/>
    <w:rsid w:val="00C32371"/>
    <w:rsid w:val="00C329E7"/>
    <w:rsid w:val="00C33228"/>
    <w:rsid w:val="00C3325A"/>
    <w:rsid w:val="00C4171B"/>
    <w:rsid w:val="00C4438A"/>
    <w:rsid w:val="00C54B17"/>
    <w:rsid w:val="00C56397"/>
    <w:rsid w:val="00C6575B"/>
    <w:rsid w:val="00C74CD2"/>
    <w:rsid w:val="00C76509"/>
    <w:rsid w:val="00C80293"/>
    <w:rsid w:val="00C80BD3"/>
    <w:rsid w:val="00C80DD4"/>
    <w:rsid w:val="00C84ACD"/>
    <w:rsid w:val="00C84E65"/>
    <w:rsid w:val="00C86DA5"/>
    <w:rsid w:val="00C96D33"/>
    <w:rsid w:val="00CA0673"/>
    <w:rsid w:val="00CA3CE6"/>
    <w:rsid w:val="00CA481B"/>
    <w:rsid w:val="00CA5C08"/>
    <w:rsid w:val="00CB4A9E"/>
    <w:rsid w:val="00CC2EC0"/>
    <w:rsid w:val="00CC3123"/>
    <w:rsid w:val="00CC6921"/>
    <w:rsid w:val="00CE4638"/>
    <w:rsid w:val="00CF57E4"/>
    <w:rsid w:val="00D0242B"/>
    <w:rsid w:val="00D124AD"/>
    <w:rsid w:val="00D129EE"/>
    <w:rsid w:val="00D22230"/>
    <w:rsid w:val="00D30252"/>
    <w:rsid w:val="00D30421"/>
    <w:rsid w:val="00D3412B"/>
    <w:rsid w:val="00D34141"/>
    <w:rsid w:val="00D34BFB"/>
    <w:rsid w:val="00D35C8A"/>
    <w:rsid w:val="00D36074"/>
    <w:rsid w:val="00D36232"/>
    <w:rsid w:val="00D42D23"/>
    <w:rsid w:val="00D60890"/>
    <w:rsid w:val="00D60B78"/>
    <w:rsid w:val="00D615DC"/>
    <w:rsid w:val="00D62436"/>
    <w:rsid w:val="00D63740"/>
    <w:rsid w:val="00D70B02"/>
    <w:rsid w:val="00D7729A"/>
    <w:rsid w:val="00D8562E"/>
    <w:rsid w:val="00D8677D"/>
    <w:rsid w:val="00D905A1"/>
    <w:rsid w:val="00D91A05"/>
    <w:rsid w:val="00D91B0B"/>
    <w:rsid w:val="00D93D3E"/>
    <w:rsid w:val="00D95B58"/>
    <w:rsid w:val="00D97438"/>
    <w:rsid w:val="00D97A7A"/>
    <w:rsid w:val="00DB06EB"/>
    <w:rsid w:val="00DB20F1"/>
    <w:rsid w:val="00DB3D87"/>
    <w:rsid w:val="00DC3579"/>
    <w:rsid w:val="00DC595C"/>
    <w:rsid w:val="00DC6B98"/>
    <w:rsid w:val="00DD15BF"/>
    <w:rsid w:val="00DE6921"/>
    <w:rsid w:val="00DE7BAB"/>
    <w:rsid w:val="00DE7DF4"/>
    <w:rsid w:val="00DF45C3"/>
    <w:rsid w:val="00DF5C9F"/>
    <w:rsid w:val="00E00633"/>
    <w:rsid w:val="00E00D69"/>
    <w:rsid w:val="00E02F15"/>
    <w:rsid w:val="00E04D50"/>
    <w:rsid w:val="00E10BFB"/>
    <w:rsid w:val="00E11ED8"/>
    <w:rsid w:val="00E13C9D"/>
    <w:rsid w:val="00E1566C"/>
    <w:rsid w:val="00E17EF7"/>
    <w:rsid w:val="00E20036"/>
    <w:rsid w:val="00E25165"/>
    <w:rsid w:val="00E41156"/>
    <w:rsid w:val="00E45FFA"/>
    <w:rsid w:val="00E505A7"/>
    <w:rsid w:val="00E52DCB"/>
    <w:rsid w:val="00E54BCF"/>
    <w:rsid w:val="00E54ED6"/>
    <w:rsid w:val="00E56EC6"/>
    <w:rsid w:val="00E63E6B"/>
    <w:rsid w:val="00E724E4"/>
    <w:rsid w:val="00E74DD2"/>
    <w:rsid w:val="00E77E92"/>
    <w:rsid w:val="00E824A1"/>
    <w:rsid w:val="00E83600"/>
    <w:rsid w:val="00E86BB6"/>
    <w:rsid w:val="00E907FB"/>
    <w:rsid w:val="00E92C45"/>
    <w:rsid w:val="00E96451"/>
    <w:rsid w:val="00EA2DBB"/>
    <w:rsid w:val="00EA3422"/>
    <w:rsid w:val="00EA73B8"/>
    <w:rsid w:val="00EA7662"/>
    <w:rsid w:val="00EC3B98"/>
    <w:rsid w:val="00ED15C2"/>
    <w:rsid w:val="00EE1277"/>
    <w:rsid w:val="00EE1EA6"/>
    <w:rsid w:val="00EE48C8"/>
    <w:rsid w:val="00EE4965"/>
    <w:rsid w:val="00EE5F0B"/>
    <w:rsid w:val="00EE6CA9"/>
    <w:rsid w:val="00EF0DDE"/>
    <w:rsid w:val="00EF2128"/>
    <w:rsid w:val="00EF5059"/>
    <w:rsid w:val="00F01935"/>
    <w:rsid w:val="00F0793C"/>
    <w:rsid w:val="00F1466F"/>
    <w:rsid w:val="00F16269"/>
    <w:rsid w:val="00F25C3B"/>
    <w:rsid w:val="00F265D0"/>
    <w:rsid w:val="00F26B20"/>
    <w:rsid w:val="00F26D24"/>
    <w:rsid w:val="00F4082E"/>
    <w:rsid w:val="00F40B71"/>
    <w:rsid w:val="00F41FC0"/>
    <w:rsid w:val="00F44A1F"/>
    <w:rsid w:val="00F45230"/>
    <w:rsid w:val="00F72E61"/>
    <w:rsid w:val="00F76267"/>
    <w:rsid w:val="00F76A3F"/>
    <w:rsid w:val="00F871C0"/>
    <w:rsid w:val="00F87899"/>
    <w:rsid w:val="00F87E7B"/>
    <w:rsid w:val="00FA0220"/>
    <w:rsid w:val="00FA0F4A"/>
    <w:rsid w:val="00FA1A7B"/>
    <w:rsid w:val="00FB2013"/>
    <w:rsid w:val="00FB3A0C"/>
    <w:rsid w:val="00FB45D1"/>
    <w:rsid w:val="00FB5105"/>
    <w:rsid w:val="00FC3E4C"/>
    <w:rsid w:val="00FC48A1"/>
    <w:rsid w:val="00FD02DC"/>
    <w:rsid w:val="00FD32F2"/>
    <w:rsid w:val="00FD3F09"/>
    <w:rsid w:val="00FD52E7"/>
    <w:rsid w:val="00FF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B1E9A02-0E30-4C64-BC17-21E0AC2D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08F"/>
    <w:rPr>
      <w:sz w:val="28"/>
      <w:szCs w:val="24"/>
    </w:rPr>
  </w:style>
  <w:style w:type="paragraph" w:styleId="1">
    <w:name w:val="heading 1"/>
    <w:basedOn w:val="a"/>
    <w:next w:val="a"/>
    <w:link w:val="10"/>
    <w:qFormat/>
    <w:locked/>
    <w:rsid w:val="00296C3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iPriority w:val="99"/>
    <w:qFormat/>
    <w:rsid w:val="0079427A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20F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96C31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7170A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7170A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semiHidden/>
    <w:locked/>
    <w:rsid w:val="0079427A"/>
    <w:rPr>
      <w:rFonts w:ascii="Cambria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344170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rsid w:val="0019308F"/>
    <w:pPr>
      <w:ind w:firstLine="720"/>
    </w:pPr>
  </w:style>
  <w:style w:type="character" w:customStyle="1" w:styleId="a4">
    <w:name w:val="Основной текст с отступом Знак"/>
    <w:link w:val="a3"/>
    <w:uiPriority w:val="99"/>
    <w:locked/>
    <w:rsid w:val="00BD3260"/>
    <w:rPr>
      <w:rFonts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rsid w:val="0019308F"/>
    <w:pPr>
      <w:tabs>
        <w:tab w:val="left" w:pos="5260"/>
        <w:tab w:val="left" w:pos="6120"/>
      </w:tabs>
      <w:ind w:left="6120" w:hanging="5940"/>
    </w:pPr>
  </w:style>
  <w:style w:type="character" w:customStyle="1" w:styleId="23">
    <w:name w:val="Основной текст с отступом 2 Знак"/>
    <w:link w:val="22"/>
    <w:uiPriority w:val="99"/>
    <w:semiHidden/>
    <w:rsid w:val="00344170"/>
    <w:rPr>
      <w:sz w:val="28"/>
      <w:szCs w:val="24"/>
    </w:rPr>
  </w:style>
  <w:style w:type="paragraph" w:styleId="31">
    <w:name w:val="Body Text Indent 3"/>
    <w:basedOn w:val="a"/>
    <w:link w:val="32"/>
    <w:uiPriority w:val="99"/>
    <w:rsid w:val="0019308F"/>
    <w:pPr>
      <w:ind w:left="6120" w:hanging="1164"/>
    </w:pPr>
  </w:style>
  <w:style w:type="character" w:customStyle="1" w:styleId="32">
    <w:name w:val="Основной текст с отступом 3 Знак"/>
    <w:link w:val="31"/>
    <w:uiPriority w:val="99"/>
    <w:semiHidden/>
    <w:rsid w:val="00344170"/>
    <w:rPr>
      <w:sz w:val="16"/>
      <w:szCs w:val="16"/>
    </w:rPr>
  </w:style>
  <w:style w:type="paragraph" w:styleId="a5">
    <w:name w:val="Body Text"/>
    <w:basedOn w:val="a"/>
    <w:link w:val="a6"/>
    <w:uiPriority w:val="99"/>
    <w:rsid w:val="0019308F"/>
    <w:pPr>
      <w:tabs>
        <w:tab w:val="left" w:pos="660"/>
      </w:tabs>
      <w:jc w:val="both"/>
    </w:pPr>
    <w:rPr>
      <w:sz w:val="27"/>
    </w:rPr>
  </w:style>
  <w:style w:type="character" w:customStyle="1" w:styleId="a6">
    <w:name w:val="Основной текст Знак"/>
    <w:link w:val="a5"/>
    <w:uiPriority w:val="99"/>
    <w:semiHidden/>
    <w:rsid w:val="00344170"/>
    <w:rPr>
      <w:sz w:val="28"/>
      <w:szCs w:val="24"/>
    </w:rPr>
  </w:style>
  <w:style w:type="paragraph" w:customStyle="1" w:styleId="ConsNormal">
    <w:name w:val="ConsNormal"/>
    <w:uiPriority w:val="99"/>
    <w:rsid w:val="003E75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uiPriority w:val="99"/>
    <w:rsid w:val="00F01935"/>
    <w:rPr>
      <w:rFonts w:cs="Times New Roman"/>
      <w:b/>
      <w:color w:val="217680"/>
      <w:u w:val="none"/>
      <w:effect w:val="none"/>
    </w:rPr>
  </w:style>
  <w:style w:type="paragraph" w:customStyle="1" w:styleId="ConsPlusNormal">
    <w:name w:val="ConsPlusNormal"/>
    <w:uiPriority w:val="99"/>
    <w:rsid w:val="008257C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header"/>
    <w:basedOn w:val="a"/>
    <w:link w:val="a9"/>
    <w:uiPriority w:val="99"/>
    <w:rsid w:val="00520F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AC74DC"/>
    <w:rPr>
      <w:rFonts w:cs="Times New Roman"/>
      <w:sz w:val="24"/>
      <w:szCs w:val="24"/>
    </w:rPr>
  </w:style>
  <w:style w:type="character" w:styleId="aa">
    <w:name w:val="page number"/>
    <w:uiPriority w:val="99"/>
    <w:rsid w:val="00520F8D"/>
    <w:rPr>
      <w:rFonts w:cs="Times New Roman"/>
    </w:rPr>
  </w:style>
  <w:style w:type="paragraph" w:customStyle="1" w:styleId="ab">
    <w:name w:val="Заголовок к тексту"/>
    <w:basedOn w:val="a"/>
    <w:uiPriority w:val="99"/>
    <w:rsid w:val="00520F8D"/>
    <w:pPr>
      <w:suppressAutoHyphens/>
    </w:pPr>
    <w:rPr>
      <w:sz w:val="24"/>
    </w:rPr>
  </w:style>
  <w:style w:type="paragraph" w:customStyle="1" w:styleId="ac">
    <w:name w:val="Адресат/УТВЕРЖДАЮ/резолюция"/>
    <w:basedOn w:val="3"/>
    <w:uiPriority w:val="99"/>
    <w:rsid w:val="00520F8D"/>
    <w:pPr>
      <w:numPr>
        <w:ilvl w:val="12"/>
      </w:numPr>
      <w:spacing w:before="0" w:after="0"/>
      <w:ind w:left="708" w:hanging="708"/>
      <w:jc w:val="right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d">
    <w:name w:val="ФИЛИАЛ"/>
    <w:basedOn w:val="a"/>
    <w:uiPriority w:val="99"/>
    <w:rsid w:val="00520F8D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e">
    <w:name w:val="Реквизиты ОДУ"/>
    <w:basedOn w:val="a"/>
    <w:uiPriority w:val="99"/>
    <w:rsid w:val="00520F8D"/>
    <w:pPr>
      <w:ind w:left="-170" w:right="-113"/>
      <w:jc w:val="center"/>
    </w:pPr>
    <w:rPr>
      <w:rFonts w:ascii="Arial" w:hAnsi="Arial" w:cs="Arial"/>
      <w:b/>
      <w:color w:val="000000"/>
      <w:sz w:val="16"/>
    </w:rPr>
  </w:style>
  <w:style w:type="paragraph" w:customStyle="1" w:styleId="af">
    <w:name w:val="регистрационный номер"/>
    <w:basedOn w:val="ae"/>
    <w:uiPriority w:val="99"/>
    <w:rsid w:val="00520F8D"/>
    <w:rPr>
      <w:b w:val="0"/>
      <w:bCs/>
      <w:sz w:val="24"/>
    </w:rPr>
  </w:style>
  <w:style w:type="character" w:styleId="af0">
    <w:name w:val="Strong"/>
    <w:uiPriority w:val="99"/>
    <w:qFormat/>
    <w:rsid w:val="001908BC"/>
    <w:rPr>
      <w:rFonts w:cs="Times New Roman"/>
      <w:b/>
    </w:rPr>
  </w:style>
  <w:style w:type="paragraph" w:customStyle="1" w:styleId="infoblue">
    <w:name w:val="infoblue"/>
    <w:basedOn w:val="a"/>
    <w:next w:val="a"/>
    <w:uiPriority w:val="99"/>
    <w:rsid w:val="001908BC"/>
    <w:pPr>
      <w:spacing w:before="100" w:beforeAutospacing="1" w:after="100" w:afterAutospacing="1" w:line="240" w:lineRule="atLeast"/>
      <w:jc w:val="both"/>
    </w:pPr>
    <w:rPr>
      <w:i/>
      <w:iCs/>
      <w:color w:val="0000FF"/>
      <w:sz w:val="20"/>
      <w:szCs w:val="20"/>
    </w:rPr>
  </w:style>
  <w:style w:type="paragraph" w:styleId="af1">
    <w:name w:val="Balloon Text"/>
    <w:basedOn w:val="a"/>
    <w:link w:val="af2"/>
    <w:uiPriority w:val="99"/>
    <w:rsid w:val="009D34A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locked/>
    <w:rsid w:val="009D34A7"/>
    <w:rPr>
      <w:rFonts w:ascii="Tahoma" w:hAnsi="Tahoma" w:cs="Tahoma"/>
      <w:sz w:val="16"/>
      <w:szCs w:val="16"/>
    </w:rPr>
  </w:style>
  <w:style w:type="table" w:styleId="af3">
    <w:name w:val="Table Grid"/>
    <w:basedOn w:val="a1"/>
    <w:uiPriority w:val="99"/>
    <w:rsid w:val="00082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99"/>
    <w:qFormat/>
    <w:rsid w:val="0008259F"/>
    <w:pPr>
      <w:ind w:left="720"/>
      <w:contextualSpacing/>
    </w:pPr>
  </w:style>
  <w:style w:type="paragraph" w:styleId="af5">
    <w:name w:val="footer"/>
    <w:basedOn w:val="a"/>
    <w:link w:val="af6"/>
    <w:uiPriority w:val="99"/>
    <w:rsid w:val="009656FD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locked/>
    <w:rsid w:val="009656FD"/>
    <w:rPr>
      <w:rFonts w:cs="Times New Roman"/>
      <w:sz w:val="24"/>
      <w:szCs w:val="24"/>
    </w:rPr>
  </w:style>
  <w:style w:type="paragraph" w:styleId="af7">
    <w:name w:val="Revision"/>
    <w:hidden/>
    <w:uiPriority w:val="99"/>
    <w:semiHidden/>
    <w:rsid w:val="006B7AA6"/>
    <w:rPr>
      <w:sz w:val="28"/>
      <w:szCs w:val="24"/>
    </w:rPr>
  </w:style>
  <w:style w:type="character" w:styleId="af8">
    <w:name w:val="annotation reference"/>
    <w:uiPriority w:val="99"/>
    <w:rsid w:val="004A5D0D"/>
    <w:rPr>
      <w:rFonts w:cs="Times New Roman"/>
      <w:sz w:val="16"/>
      <w:szCs w:val="16"/>
    </w:rPr>
  </w:style>
  <w:style w:type="paragraph" w:styleId="af9">
    <w:name w:val="annotation text"/>
    <w:basedOn w:val="a"/>
    <w:link w:val="afa"/>
    <w:uiPriority w:val="99"/>
    <w:rsid w:val="004A5D0D"/>
    <w:rPr>
      <w:sz w:val="20"/>
      <w:szCs w:val="20"/>
    </w:rPr>
  </w:style>
  <w:style w:type="character" w:customStyle="1" w:styleId="afa">
    <w:name w:val="Текст примечания Знак"/>
    <w:link w:val="af9"/>
    <w:uiPriority w:val="99"/>
    <w:locked/>
    <w:rsid w:val="004A5D0D"/>
    <w:rPr>
      <w:rFonts w:cs="Times New Roman"/>
    </w:rPr>
  </w:style>
  <w:style w:type="paragraph" w:styleId="afb">
    <w:name w:val="annotation subject"/>
    <w:basedOn w:val="af9"/>
    <w:next w:val="af9"/>
    <w:link w:val="afc"/>
    <w:uiPriority w:val="99"/>
    <w:rsid w:val="004A5D0D"/>
    <w:rPr>
      <w:b/>
      <w:bCs/>
    </w:rPr>
  </w:style>
  <w:style w:type="character" w:customStyle="1" w:styleId="afc">
    <w:name w:val="Тема примечания Знак"/>
    <w:link w:val="afb"/>
    <w:uiPriority w:val="99"/>
    <w:locked/>
    <w:rsid w:val="004A5D0D"/>
    <w:rPr>
      <w:rFonts w:cs="Times New Roman"/>
      <w:b/>
      <w:bCs/>
    </w:rPr>
  </w:style>
  <w:style w:type="paragraph" w:customStyle="1" w:styleId="subclauseindent">
    <w:name w:val="subclauseindent"/>
    <w:basedOn w:val="a"/>
    <w:uiPriority w:val="99"/>
    <w:rsid w:val="00175100"/>
    <w:pPr>
      <w:spacing w:before="120" w:after="120"/>
      <w:ind w:left="1701"/>
      <w:jc w:val="both"/>
    </w:pPr>
    <w:rPr>
      <w:rFonts w:ascii="Garamond" w:hAnsi="Garamond" w:cs="Garamond"/>
      <w:sz w:val="22"/>
      <w:szCs w:val="22"/>
      <w:lang w:val="en-GB" w:eastAsia="en-US"/>
    </w:rPr>
  </w:style>
  <w:style w:type="character" w:customStyle="1" w:styleId="10">
    <w:name w:val="Заголовок 1 Знак"/>
    <w:basedOn w:val="a0"/>
    <w:link w:val="1"/>
    <w:rsid w:val="00296C3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List Number 2"/>
    <w:basedOn w:val="a"/>
    <w:rsid w:val="00296C31"/>
    <w:pPr>
      <w:keepNext/>
      <w:keepLines/>
      <w:numPr>
        <w:numId w:val="1"/>
      </w:numPr>
      <w:tabs>
        <w:tab w:val="num" w:pos="643"/>
        <w:tab w:val="left" w:pos="1260"/>
      </w:tabs>
      <w:spacing w:before="120"/>
      <w:ind w:left="643" w:hanging="360"/>
      <w:jc w:val="both"/>
    </w:pPr>
    <w:rPr>
      <w:rFonts w:ascii="Garamond" w:hAnsi="Garamond"/>
      <w:sz w:val="22"/>
      <w:szCs w:val="20"/>
      <w:lang w:eastAsia="en-US"/>
    </w:rPr>
  </w:style>
  <w:style w:type="character" w:customStyle="1" w:styleId="40">
    <w:name w:val="Заголовок 4 Знак"/>
    <w:basedOn w:val="a0"/>
    <w:link w:val="4"/>
    <w:semiHidden/>
    <w:rsid w:val="00296C3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7170AE"/>
    <w:rPr>
      <w:rFonts w:asciiTheme="majorHAnsi" w:eastAsiaTheme="majorEastAsia" w:hAnsiTheme="majorHAnsi" w:cstheme="majorBidi"/>
      <w:color w:val="365F91" w:themeColor="accent1" w:themeShade="BF"/>
      <w:sz w:val="28"/>
      <w:szCs w:val="24"/>
    </w:rPr>
  </w:style>
  <w:style w:type="character" w:customStyle="1" w:styleId="60">
    <w:name w:val="Заголовок 6 Знак"/>
    <w:basedOn w:val="a0"/>
    <w:link w:val="6"/>
    <w:semiHidden/>
    <w:rsid w:val="007170AE"/>
    <w:rPr>
      <w:rFonts w:asciiTheme="majorHAnsi" w:eastAsiaTheme="majorEastAsia" w:hAnsiTheme="majorHAnsi" w:cstheme="majorBidi"/>
      <w:color w:val="243F60" w:themeColor="accent1" w:themeShade="7F"/>
      <w:sz w:val="28"/>
      <w:szCs w:val="24"/>
    </w:rPr>
  </w:style>
  <w:style w:type="paragraph" w:styleId="afd">
    <w:name w:val="Normal (Web)"/>
    <w:basedOn w:val="a"/>
    <w:uiPriority w:val="99"/>
    <w:rsid w:val="00AE555E"/>
    <w:pPr>
      <w:spacing w:before="42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281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81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8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81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81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E020E-E2C6-40DC-A366-F528B2661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1853</Words>
  <Characters>13365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Руководителю субъекта ФОРЭМ</vt:lpstr>
    </vt:vector>
  </TitlesOfParts>
  <Company>СО-ЦДУ</Company>
  <LinksUpToDate>false</LinksUpToDate>
  <CharactersWithSpaces>15188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Руководителю субъекта ФОРЭМ</dc:title>
  <dc:creator>Елена</dc:creator>
  <cp:lastModifiedBy>Гирина Марина Владимировна</cp:lastModifiedBy>
  <cp:revision>7</cp:revision>
  <cp:lastPrinted>2018-09-07T09:46:00Z</cp:lastPrinted>
  <dcterms:created xsi:type="dcterms:W3CDTF">2018-09-04T09:53:00Z</dcterms:created>
  <dcterms:modified xsi:type="dcterms:W3CDTF">2018-09-20T07:07:00Z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Поташник Полина А.</vt:lpwstr>
  </property>
  <property fmtid="{D5CDD505-2E9C-101B-9397-08002B2CF9AE}" pid="3" name="_dlc_DocId">
    <vt:lpwstr>ADCXMQC75VVE-2337-1103</vt:lpwstr>
  </property>
  <property fmtid="{D5CDD505-2E9C-101B-9397-08002B2CF9AE}" pid="4" name="_dlc_DocIdItemGuid">
    <vt:lpwstr>7a11341a-d006-4cab-90e2-e309aed24c98</vt:lpwstr>
  </property>
  <property fmtid="{D5CDD505-2E9C-101B-9397-08002B2CF9AE}" pid="5" name="_dlc_DocIdUrl">
    <vt:lpwstr>http://portal.cdu.so/ia/KonProcUpr/_layouts/DocIdRedir.aspx?ID=ADCXMQC75VVE-2337-1103, ADCXMQC75VVE-2337-1103</vt:lpwstr>
  </property>
  <property fmtid="{D5CDD505-2E9C-101B-9397-08002B2CF9AE}" pid="6" name="instruction">
    <vt:lpwstr/>
  </property>
  <property fmtid="{D5CDD505-2E9C-101B-9397-08002B2CF9AE}" pid="7" name="Направление">
    <vt:lpwstr>Бланки</vt:lpwstr>
  </property>
</Properties>
</file>